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4275" w:rsidRDefault="005A34AC" w:rsidP="00F20565">
      <w:pPr>
        <w:rPr>
          <w:rFonts w:ascii="Times New Roman" w:hAnsi="Times New Roman" w:cs="Times New Roman"/>
          <w:lang w:val="es-MX"/>
        </w:rPr>
      </w:pPr>
      <w:r>
        <w:rPr>
          <w:rFonts w:ascii="Segoe UI" w:hAnsi="Segoe UI" w:cs="Segoe UI"/>
          <w:color w:val="0D0D0D"/>
          <w:shd w:val="clear" w:color="auto" w:fill="FFFFFF"/>
        </w:rPr>
        <w:t xml:space="preserve">La inclusión del juego o la </w:t>
      </w:r>
      <w:r>
        <w:rPr>
          <w:rFonts w:ascii="Segoe UI" w:hAnsi="Segoe UI" w:cs="Segoe UI"/>
          <w:color w:val="0D0D0D"/>
          <w:shd w:val="clear" w:color="auto" w:fill="FFFFFF"/>
        </w:rPr>
        <w:t>lúdica en</w:t>
      </w:r>
      <w:r>
        <w:rPr>
          <w:rFonts w:ascii="Segoe UI" w:hAnsi="Segoe UI" w:cs="Segoe UI"/>
          <w:color w:val="0D0D0D"/>
          <w:shd w:val="clear" w:color="auto" w:fill="FFFFFF"/>
        </w:rPr>
        <w:t xml:space="preserve"> el proceso de enseñanza-aprendizaje es crucial para el desarrollo integral de los estudiantes. Por ejemplo, el fomento del aprendizaje significativo destaca que el juego en el aula no es solo una distracción, sino una herramienta poderosa para el aprendizaje profundo. </w:t>
      </w:r>
      <w:sdt>
        <w:sdtPr>
          <w:rPr>
            <w:rFonts w:ascii="Segoe UI" w:hAnsi="Segoe UI" w:cs="Segoe UI"/>
            <w:color w:val="0D0D0D"/>
            <w:shd w:val="clear" w:color="auto" w:fill="FFFFFF"/>
          </w:rPr>
          <w:id w:val="1341040097"/>
          <w:citation/>
        </w:sdtPr>
        <w:sdtContent>
          <w:r w:rsidR="00F222B1">
            <w:rPr>
              <w:rFonts w:ascii="Segoe UI" w:hAnsi="Segoe UI" w:cs="Segoe UI"/>
              <w:color w:val="0D0D0D"/>
              <w:shd w:val="clear" w:color="auto" w:fill="FFFFFF"/>
            </w:rPr>
            <w:fldChar w:fldCharType="begin"/>
          </w:r>
          <w:r w:rsidR="00F222B1">
            <w:rPr>
              <w:rFonts w:ascii="Segoe UI" w:hAnsi="Segoe UI" w:cs="Segoe UI"/>
              <w:color w:val="0D0D0D"/>
              <w:shd w:val="clear" w:color="auto" w:fill="FFFFFF"/>
              <w:lang w:val="es-MX"/>
            </w:rPr>
            <w:instrText xml:space="preserve"> CITATION Edw20 \l 2058 </w:instrText>
          </w:r>
          <w:r w:rsidR="00F222B1">
            <w:rPr>
              <w:rFonts w:ascii="Segoe UI" w:hAnsi="Segoe UI" w:cs="Segoe UI"/>
              <w:color w:val="0D0D0D"/>
              <w:shd w:val="clear" w:color="auto" w:fill="FFFFFF"/>
            </w:rPr>
            <w:fldChar w:fldCharType="separate"/>
          </w:r>
          <w:r w:rsidR="00F222B1" w:rsidRPr="00F222B1">
            <w:rPr>
              <w:rFonts w:ascii="Segoe UI" w:hAnsi="Segoe UI" w:cs="Segoe UI"/>
              <w:noProof/>
              <w:color w:val="0D0D0D"/>
              <w:shd w:val="clear" w:color="auto" w:fill="FFFFFF"/>
              <w:lang w:val="es-MX"/>
            </w:rPr>
            <w:t>(Bermeo, 2020)</w:t>
          </w:r>
          <w:r w:rsidR="00F222B1">
            <w:rPr>
              <w:rFonts w:ascii="Segoe UI" w:hAnsi="Segoe UI" w:cs="Segoe UI"/>
              <w:color w:val="0D0D0D"/>
              <w:shd w:val="clear" w:color="auto" w:fill="FFFFFF"/>
            </w:rPr>
            <w:fldChar w:fldCharType="end"/>
          </w:r>
        </w:sdtContent>
      </w:sdt>
      <w:r w:rsidR="00F222B1">
        <w:rPr>
          <w:rFonts w:ascii="Segoe UI" w:hAnsi="Segoe UI" w:cs="Segoe UI"/>
          <w:color w:val="0D0D0D"/>
          <w:shd w:val="clear" w:color="auto" w:fill="FFFFFF"/>
        </w:rPr>
        <w:t xml:space="preserve">. </w:t>
      </w:r>
      <w:r>
        <w:rPr>
          <w:rFonts w:ascii="Segoe UI" w:hAnsi="Segoe UI" w:cs="Segoe UI"/>
          <w:color w:val="0D0D0D"/>
          <w:shd w:val="clear" w:color="auto" w:fill="FFFFFF"/>
        </w:rPr>
        <w:t>La investigación de la Universidad de los Andes respalda que el juego fortalece valores, promueve la interacción entre compañeros y fomenta el respeto por las ideas de los demás, mejorando así el proceso de aprendizaje.</w:t>
      </w:r>
      <w:sdt>
        <w:sdtPr>
          <w:rPr>
            <w:rFonts w:ascii="Segoe UI" w:hAnsi="Segoe UI" w:cs="Segoe UI"/>
            <w:color w:val="0D0D0D"/>
            <w:shd w:val="clear" w:color="auto" w:fill="FFFFFF"/>
          </w:rPr>
          <w:id w:val="-1228527329"/>
          <w:citation/>
        </w:sdtPr>
        <w:sdtContent>
          <w:r w:rsidR="00F222B1">
            <w:rPr>
              <w:rFonts w:ascii="Segoe UI" w:hAnsi="Segoe UI" w:cs="Segoe UI"/>
              <w:color w:val="0D0D0D"/>
              <w:shd w:val="clear" w:color="auto" w:fill="FFFFFF"/>
            </w:rPr>
            <w:fldChar w:fldCharType="begin"/>
          </w:r>
          <w:r w:rsidR="00F222B1">
            <w:rPr>
              <w:rFonts w:ascii="Segoe UI" w:hAnsi="Segoe UI" w:cs="Segoe UI"/>
              <w:color w:val="0D0D0D"/>
              <w:shd w:val="clear" w:color="auto" w:fill="FFFFFF"/>
              <w:lang w:val="es-MX"/>
            </w:rPr>
            <w:instrText xml:space="preserve"> CITATION Gar15 \l 2058 </w:instrText>
          </w:r>
          <w:r w:rsidR="00F222B1">
            <w:rPr>
              <w:rFonts w:ascii="Segoe UI" w:hAnsi="Segoe UI" w:cs="Segoe UI"/>
              <w:color w:val="0D0D0D"/>
              <w:shd w:val="clear" w:color="auto" w:fill="FFFFFF"/>
            </w:rPr>
            <w:fldChar w:fldCharType="separate"/>
          </w:r>
          <w:r w:rsidR="00F222B1">
            <w:rPr>
              <w:rFonts w:ascii="Segoe UI" w:hAnsi="Segoe UI" w:cs="Segoe UI"/>
              <w:noProof/>
              <w:color w:val="0D0D0D"/>
              <w:shd w:val="clear" w:color="auto" w:fill="FFFFFF"/>
              <w:lang w:val="es-MX"/>
            </w:rPr>
            <w:t xml:space="preserve"> </w:t>
          </w:r>
          <w:r w:rsidR="00F222B1" w:rsidRPr="00F222B1">
            <w:rPr>
              <w:rFonts w:ascii="Segoe UI" w:hAnsi="Segoe UI" w:cs="Segoe UI"/>
              <w:noProof/>
              <w:color w:val="0D0D0D"/>
              <w:shd w:val="clear" w:color="auto" w:fill="FFFFFF"/>
              <w:lang w:val="es-MX"/>
            </w:rPr>
            <w:t>(Fernández, 2015)</w:t>
          </w:r>
          <w:r w:rsidR="00F222B1">
            <w:rPr>
              <w:rFonts w:ascii="Segoe UI" w:hAnsi="Segoe UI" w:cs="Segoe UI"/>
              <w:color w:val="0D0D0D"/>
              <w:shd w:val="clear" w:color="auto" w:fill="FFFFFF"/>
            </w:rPr>
            <w:fldChar w:fldCharType="end"/>
          </w:r>
        </w:sdtContent>
      </w:sdt>
      <w:r>
        <w:rPr>
          <w:rFonts w:ascii="Segoe UI" w:hAnsi="Segoe UI" w:cs="Segoe UI"/>
          <w:color w:val="0D0D0D"/>
          <w:shd w:val="clear" w:color="auto" w:fill="FFFFFF"/>
        </w:rPr>
        <w:t xml:space="preserve"> Asimismo, el desarrollo de habilidades y destrezas a través del juego es esencial en el contexto escolar, ya que no solo facilita el aprendizaje, sino que también promueve la comunicación, la cooperación y el respeto por las normas, favoreciendo la socialización entre los estudiantes.</w:t>
      </w:r>
      <w:sdt>
        <w:sdtPr>
          <w:rPr>
            <w:rFonts w:ascii="Segoe UI" w:hAnsi="Segoe UI" w:cs="Segoe UI"/>
            <w:color w:val="0D0D0D"/>
            <w:shd w:val="clear" w:color="auto" w:fill="FFFFFF"/>
          </w:rPr>
          <w:id w:val="552823370"/>
          <w:citation/>
        </w:sdtPr>
        <w:sdtContent>
          <w:r w:rsidR="00F222B1">
            <w:rPr>
              <w:rFonts w:ascii="Segoe UI" w:hAnsi="Segoe UI" w:cs="Segoe UI"/>
              <w:color w:val="0D0D0D"/>
              <w:shd w:val="clear" w:color="auto" w:fill="FFFFFF"/>
            </w:rPr>
            <w:fldChar w:fldCharType="begin"/>
          </w:r>
          <w:r w:rsidR="00F222B1">
            <w:rPr>
              <w:rFonts w:ascii="Segoe UI" w:hAnsi="Segoe UI" w:cs="Segoe UI"/>
              <w:color w:val="0D0D0D"/>
              <w:shd w:val="clear" w:color="auto" w:fill="FFFFFF"/>
              <w:lang w:val="es-MX"/>
            </w:rPr>
            <w:instrText xml:space="preserve"> CITATION Kat18 \l 2058 </w:instrText>
          </w:r>
          <w:r w:rsidR="00F222B1">
            <w:rPr>
              <w:rFonts w:ascii="Segoe UI" w:hAnsi="Segoe UI" w:cs="Segoe UI"/>
              <w:color w:val="0D0D0D"/>
              <w:shd w:val="clear" w:color="auto" w:fill="FFFFFF"/>
            </w:rPr>
            <w:fldChar w:fldCharType="separate"/>
          </w:r>
          <w:r w:rsidR="00F222B1">
            <w:rPr>
              <w:rFonts w:ascii="Segoe UI" w:hAnsi="Segoe UI" w:cs="Segoe UI"/>
              <w:noProof/>
              <w:color w:val="0D0D0D"/>
              <w:shd w:val="clear" w:color="auto" w:fill="FFFFFF"/>
              <w:lang w:val="es-MX"/>
            </w:rPr>
            <w:t xml:space="preserve"> </w:t>
          </w:r>
          <w:r w:rsidR="00F222B1" w:rsidRPr="00F222B1">
            <w:rPr>
              <w:rFonts w:ascii="Segoe UI" w:hAnsi="Segoe UI" w:cs="Segoe UI"/>
              <w:noProof/>
              <w:color w:val="0D0D0D"/>
              <w:shd w:val="clear" w:color="auto" w:fill="FFFFFF"/>
              <w:lang w:val="es-MX"/>
            </w:rPr>
            <w:t>(Katia Alcira Pomare Smith, 2018)</w:t>
          </w:r>
          <w:r w:rsidR="00F222B1">
            <w:rPr>
              <w:rFonts w:ascii="Segoe UI" w:hAnsi="Segoe UI" w:cs="Segoe UI"/>
              <w:color w:val="0D0D0D"/>
              <w:shd w:val="clear" w:color="auto" w:fill="FFFFFF"/>
            </w:rPr>
            <w:fldChar w:fldCharType="end"/>
          </w:r>
        </w:sdtContent>
      </w:sdt>
      <w:bookmarkStart w:id="0" w:name="_GoBack"/>
      <w:bookmarkEnd w:id="0"/>
      <w:r>
        <w:rPr>
          <w:rFonts w:ascii="Segoe UI" w:hAnsi="Segoe UI" w:cs="Segoe UI"/>
          <w:color w:val="0D0D0D"/>
          <w:shd w:val="clear" w:color="auto" w:fill="FFFFFF"/>
        </w:rPr>
        <w:t xml:space="preserve"> Finalmente, el estímulo de la motivación y la participación activa mediante el juego en el aula puede ser una herramienta valiosa, como respalda la investigación de la Universidad de Tolima, demostrando que el juego no solo divierte, sino que también fortalece el aprendizaje de los niños de manera efectiva.</w:t>
      </w:r>
    </w:p>
    <w:sdt>
      <w:sdtPr>
        <w:rPr>
          <w:lang w:val="es-ES"/>
        </w:rPr>
        <w:id w:val="1635991144"/>
        <w:docPartObj>
          <w:docPartGallery w:val="Bibliographies"/>
          <w:docPartUnique/>
        </w:docPartObj>
      </w:sdtPr>
      <w:sdtEndPr>
        <w:rPr>
          <w:rFonts w:asciiTheme="minorHAnsi" w:eastAsiaTheme="minorHAnsi" w:hAnsiTheme="minorHAnsi" w:cstheme="minorBidi"/>
          <w:color w:val="auto"/>
          <w:sz w:val="22"/>
          <w:szCs w:val="22"/>
          <w:lang w:val="es-CO" w:eastAsia="en-US"/>
        </w:rPr>
      </w:sdtEndPr>
      <w:sdtContent>
        <w:p w:rsidR="00384275" w:rsidRDefault="00384275">
          <w:pPr>
            <w:pStyle w:val="Ttulo1"/>
          </w:pPr>
          <w:r>
            <w:rPr>
              <w:lang w:val="es-ES"/>
            </w:rPr>
            <w:t>Referencias</w:t>
          </w:r>
        </w:p>
        <w:sdt>
          <w:sdtPr>
            <w:id w:val="-573587230"/>
            <w:bibliography/>
          </w:sdtPr>
          <w:sdtContent>
            <w:p w:rsidR="00384275" w:rsidRDefault="00384275" w:rsidP="00384275">
              <w:pPr>
                <w:pStyle w:val="Bibliografa"/>
                <w:ind w:left="720" w:hanging="720"/>
                <w:rPr>
                  <w:noProof/>
                  <w:sz w:val="24"/>
                  <w:szCs w:val="24"/>
                  <w:lang w:val="es-ES"/>
                </w:rPr>
              </w:pPr>
              <w:r>
                <w:fldChar w:fldCharType="begin"/>
              </w:r>
              <w:r>
                <w:instrText>BIBLIOGRAPHY</w:instrText>
              </w:r>
              <w:r>
                <w:fldChar w:fldCharType="separate"/>
              </w:r>
              <w:r>
                <w:rPr>
                  <w:noProof/>
                  <w:lang w:val="es-ES"/>
                </w:rPr>
                <w:t xml:space="preserve">Bermeo, E. E. (2020). </w:t>
              </w:r>
              <w:r>
                <w:rPr>
                  <w:i/>
                  <w:iCs/>
                  <w:noProof/>
                  <w:lang w:val="es-ES"/>
                </w:rPr>
                <w:t>Importancia del factor lúdico en el proceso enseñanza-aprendizaje .</w:t>
              </w:r>
              <w:r>
                <w:rPr>
                  <w:noProof/>
                  <w:lang w:val="es-ES"/>
                </w:rPr>
                <w:t xml:space="preserve"> Quito: Universidad Andina Simón Bolívar.</w:t>
              </w:r>
            </w:p>
            <w:p w:rsidR="00384275" w:rsidRDefault="00384275" w:rsidP="00384275">
              <w:pPr>
                <w:pStyle w:val="Bibliografa"/>
                <w:ind w:left="720" w:hanging="720"/>
                <w:rPr>
                  <w:noProof/>
                  <w:lang w:val="es-ES"/>
                </w:rPr>
              </w:pPr>
              <w:r>
                <w:rPr>
                  <w:noProof/>
                  <w:lang w:val="es-ES"/>
                </w:rPr>
                <w:t xml:space="preserve">Fernández, G. (2015). </w:t>
              </w:r>
              <w:r>
                <w:rPr>
                  <w:i/>
                  <w:iCs/>
                  <w:noProof/>
                  <w:lang w:val="es-ES"/>
                </w:rPr>
                <w:t>La importancia del juego en el proceso de enseñanza.</w:t>
              </w:r>
              <w:r>
                <w:rPr>
                  <w:noProof/>
                  <w:lang w:val="es-ES"/>
                </w:rPr>
                <w:t xml:space="preserve"> Publicaciones Didacticas .</w:t>
              </w:r>
            </w:p>
            <w:p w:rsidR="00384275" w:rsidRDefault="00384275" w:rsidP="00384275">
              <w:pPr>
                <w:pStyle w:val="Bibliografa"/>
                <w:ind w:left="720" w:hanging="720"/>
                <w:rPr>
                  <w:noProof/>
                  <w:lang w:val="es-ES"/>
                </w:rPr>
              </w:pPr>
              <w:r>
                <w:rPr>
                  <w:noProof/>
                  <w:lang w:val="es-ES"/>
                </w:rPr>
                <w:t xml:space="preserve">Katia Alcira Pomare Smith, J. O. (2018). </w:t>
              </w:r>
              <w:r>
                <w:rPr>
                  <w:i/>
                  <w:iCs/>
                  <w:noProof/>
                  <w:lang w:val="es-ES"/>
                </w:rPr>
                <w:t>La didáctica lúdica, mediadora en el aprendizaje significativo.</w:t>
              </w:r>
              <w:r>
                <w:rPr>
                  <w:noProof/>
                  <w:lang w:val="es-ES"/>
                </w:rPr>
                <w:t xml:space="preserve"> Barranquilla: Universidad de la Costa.</w:t>
              </w:r>
            </w:p>
            <w:p w:rsidR="00384275" w:rsidRDefault="00384275" w:rsidP="00384275">
              <w:r>
                <w:rPr>
                  <w:b/>
                  <w:bCs/>
                </w:rPr>
                <w:fldChar w:fldCharType="end"/>
              </w:r>
            </w:p>
          </w:sdtContent>
        </w:sdt>
      </w:sdtContent>
    </w:sdt>
    <w:p w:rsidR="00384275" w:rsidRPr="00F20565" w:rsidRDefault="00384275" w:rsidP="00F20565">
      <w:pPr>
        <w:rPr>
          <w:rFonts w:ascii="Times New Roman" w:hAnsi="Times New Roman" w:cs="Times New Roman"/>
          <w:lang w:val="es-MX"/>
        </w:rPr>
      </w:pPr>
    </w:p>
    <w:sectPr w:rsidR="00384275" w:rsidRPr="00F205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52"/>
    <w:rsid w:val="00384275"/>
    <w:rsid w:val="005A34AC"/>
    <w:rsid w:val="00814EEF"/>
    <w:rsid w:val="00E76622"/>
    <w:rsid w:val="00F00D52"/>
    <w:rsid w:val="00F20565"/>
    <w:rsid w:val="00F222B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26A4D"/>
  <w15:chartTrackingRefBased/>
  <w15:docId w15:val="{F18E0517-F632-4A44-88F7-EB9E1762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4275"/>
    <w:pPr>
      <w:keepNext/>
      <w:keepLines/>
      <w:spacing w:before="240" w:after="0"/>
      <w:outlineLvl w:val="0"/>
    </w:pPr>
    <w:rPr>
      <w:rFonts w:asciiTheme="majorHAnsi" w:eastAsiaTheme="majorEastAsia" w:hAnsiTheme="majorHAnsi" w:cstheme="majorBidi"/>
      <w:color w:val="2F5496" w:themeColor="accent1" w:themeShade="BF"/>
      <w:sz w:val="32"/>
      <w:szCs w:val="32"/>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4275"/>
    <w:rPr>
      <w:rFonts w:asciiTheme="majorHAnsi" w:eastAsiaTheme="majorEastAsia" w:hAnsiTheme="majorHAnsi" w:cstheme="majorBidi"/>
      <w:color w:val="2F5496" w:themeColor="accent1" w:themeShade="BF"/>
      <w:sz w:val="32"/>
      <w:szCs w:val="32"/>
      <w:lang w:eastAsia="es-CO"/>
    </w:rPr>
  </w:style>
  <w:style w:type="paragraph" w:styleId="Bibliografa">
    <w:name w:val="Bibliography"/>
    <w:basedOn w:val="Normal"/>
    <w:next w:val="Normal"/>
    <w:uiPriority w:val="37"/>
    <w:unhideWhenUsed/>
    <w:rsid w:val="00384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1360">
      <w:bodyDiv w:val="1"/>
      <w:marLeft w:val="0"/>
      <w:marRight w:val="0"/>
      <w:marTop w:val="0"/>
      <w:marBottom w:val="0"/>
      <w:divBdr>
        <w:top w:val="none" w:sz="0" w:space="0" w:color="auto"/>
        <w:left w:val="none" w:sz="0" w:space="0" w:color="auto"/>
        <w:bottom w:val="none" w:sz="0" w:space="0" w:color="auto"/>
        <w:right w:val="none" w:sz="0" w:space="0" w:color="auto"/>
      </w:divBdr>
    </w:div>
    <w:div w:id="94831038">
      <w:bodyDiv w:val="1"/>
      <w:marLeft w:val="0"/>
      <w:marRight w:val="0"/>
      <w:marTop w:val="0"/>
      <w:marBottom w:val="0"/>
      <w:divBdr>
        <w:top w:val="none" w:sz="0" w:space="0" w:color="auto"/>
        <w:left w:val="none" w:sz="0" w:space="0" w:color="auto"/>
        <w:bottom w:val="none" w:sz="0" w:space="0" w:color="auto"/>
        <w:right w:val="none" w:sz="0" w:space="0" w:color="auto"/>
      </w:divBdr>
    </w:div>
    <w:div w:id="415520769">
      <w:bodyDiv w:val="1"/>
      <w:marLeft w:val="0"/>
      <w:marRight w:val="0"/>
      <w:marTop w:val="0"/>
      <w:marBottom w:val="0"/>
      <w:divBdr>
        <w:top w:val="none" w:sz="0" w:space="0" w:color="auto"/>
        <w:left w:val="none" w:sz="0" w:space="0" w:color="auto"/>
        <w:bottom w:val="none" w:sz="0" w:space="0" w:color="auto"/>
        <w:right w:val="none" w:sz="0" w:space="0" w:color="auto"/>
      </w:divBdr>
    </w:div>
    <w:div w:id="709771312">
      <w:bodyDiv w:val="1"/>
      <w:marLeft w:val="0"/>
      <w:marRight w:val="0"/>
      <w:marTop w:val="0"/>
      <w:marBottom w:val="0"/>
      <w:divBdr>
        <w:top w:val="none" w:sz="0" w:space="0" w:color="auto"/>
        <w:left w:val="none" w:sz="0" w:space="0" w:color="auto"/>
        <w:bottom w:val="none" w:sz="0" w:space="0" w:color="auto"/>
        <w:right w:val="none" w:sz="0" w:space="0" w:color="auto"/>
      </w:divBdr>
    </w:div>
    <w:div w:id="777333524">
      <w:bodyDiv w:val="1"/>
      <w:marLeft w:val="0"/>
      <w:marRight w:val="0"/>
      <w:marTop w:val="0"/>
      <w:marBottom w:val="0"/>
      <w:divBdr>
        <w:top w:val="none" w:sz="0" w:space="0" w:color="auto"/>
        <w:left w:val="none" w:sz="0" w:space="0" w:color="auto"/>
        <w:bottom w:val="none" w:sz="0" w:space="0" w:color="auto"/>
        <w:right w:val="none" w:sz="0" w:space="0" w:color="auto"/>
      </w:divBdr>
    </w:div>
    <w:div w:id="860511307">
      <w:bodyDiv w:val="1"/>
      <w:marLeft w:val="0"/>
      <w:marRight w:val="0"/>
      <w:marTop w:val="0"/>
      <w:marBottom w:val="0"/>
      <w:divBdr>
        <w:top w:val="none" w:sz="0" w:space="0" w:color="auto"/>
        <w:left w:val="none" w:sz="0" w:space="0" w:color="auto"/>
        <w:bottom w:val="none" w:sz="0" w:space="0" w:color="auto"/>
        <w:right w:val="none" w:sz="0" w:space="0" w:color="auto"/>
      </w:divBdr>
    </w:div>
    <w:div w:id="1033917882">
      <w:bodyDiv w:val="1"/>
      <w:marLeft w:val="0"/>
      <w:marRight w:val="0"/>
      <w:marTop w:val="0"/>
      <w:marBottom w:val="0"/>
      <w:divBdr>
        <w:top w:val="none" w:sz="0" w:space="0" w:color="auto"/>
        <w:left w:val="none" w:sz="0" w:space="0" w:color="auto"/>
        <w:bottom w:val="none" w:sz="0" w:space="0" w:color="auto"/>
        <w:right w:val="none" w:sz="0" w:space="0" w:color="auto"/>
      </w:divBdr>
    </w:div>
    <w:div w:id="1196188854">
      <w:bodyDiv w:val="1"/>
      <w:marLeft w:val="0"/>
      <w:marRight w:val="0"/>
      <w:marTop w:val="0"/>
      <w:marBottom w:val="0"/>
      <w:divBdr>
        <w:top w:val="none" w:sz="0" w:space="0" w:color="auto"/>
        <w:left w:val="none" w:sz="0" w:space="0" w:color="auto"/>
        <w:bottom w:val="none" w:sz="0" w:space="0" w:color="auto"/>
        <w:right w:val="none" w:sz="0" w:space="0" w:color="auto"/>
      </w:divBdr>
    </w:div>
    <w:div w:id="1356419853">
      <w:bodyDiv w:val="1"/>
      <w:marLeft w:val="0"/>
      <w:marRight w:val="0"/>
      <w:marTop w:val="0"/>
      <w:marBottom w:val="0"/>
      <w:divBdr>
        <w:top w:val="none" w:sz="0" w:space="0" w:color="auto"/>
        <w:left w:val="none" w:sz="0" w:space="0" w:color="auto"/>
        <w:bottom w:val="none" w:sz="0" w:space="0" w:color="auto"/>
        <w:right w:val="none" w:sz="0" w:space="0" w:color="auto"/>
      </w:divBdr>
    </w:div>
    <w:div w:id="1599481516">
      <w:bodyDiv w:val="1"/>
      <w:marLeft w:val="0"/>
      <w:marRight w:val="0"/>
      <w:marTop w:val="0"/>
      <w:marBottom w:val="0"/>
      <w:divBdr>
        <w:top w:val="none" w:sz="0" w:space="0" w:color="auto"/>
        <w:left w:val="none" w:sz="0" w:space="0" w:color="auto"/>
        <w:bottom w:val="none" w:sz="0" w:space="0" w:color="auto"/>
        <w:right w:val="none" w:sz="0" w:space="0" w:color="auto"/>
      </w:divBdr>
    </w:div>
    <w:div w:id="1717044218">
      <w:bodyDiv w:val="1"/>
      <w:marLeft w:val="0"/>
      <w:marRight w:val="0"/>
      <w:marTop w:val="0"/>
      <w:marBottom w:val="0"/>
      <w:divBdr>
        <w:top w:val="none" w:sz="0" w:space="0" w:color="auto"/>
        <w:left w:val="none" w:sz="0" w:space="0" w:color="auto"/>
        <w:bottom w:val="none" w:sz="0" w:space="0" w:color="auto"/>
        <w:right w:val="none" w:sz="0" w:space="0" w:color="auto"/>
      </w:divBdr>
    </w:div>
    <w:div w:id="1719474942">
      <w:bodyDiv w:val="1"/>
      <w:marLeft w:val="0"/>
      <w:marRight w:val="0"/>
      <w:marTop w:val="0"/>
      <w:marBottom w:val="0"/>
      <w:divBdr>
        <w:top w:val="none" w:sz="0" w:space="0" w:color="auto"/>
        <w:left w:val="none" w:sz="0" w:space="0" w:color="auto"/>
        <w:bottom w:val="none" w:sz="0" w:space="0" w:color="auto"/>
        <w:right w:val="none" w:sz="0" w:space="0" w:color="auto"/>
      </w:divBdr>
    </w:div>
    <w:div w:id="195836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Dan01</b:Tag>
    <b:SourceType>BookSection</b:SourceType>
    <b:Guid>{B940D8B3-18A4-40A2-B6D8-64B7C2C4947F}</b:Guid>
    <b:Title>La Importancia del juego en el proceso enseñanza aprendizaje desde Piaget</b:Title>
    <b:Year>2001</b:Year>
    <b:City>Bogota</b:City>
    <b:Publisher>Universidad Cooperativa de Colombia</b:Publisher>
    <b:Author>
      <b:Author>
        <b:NameList>
          <b:Person>
            <b:Last>Roa</b:Last>
            <b:First>Danilse</b:First>
            <b:Middle>Bibiana Aparicio</b:Middle>
          </b:Person>
        </b:NameList>
      </b:Author>
      <b:BookAuthor>
        <b:NameList>
          <b:Person>
            <b:Last>Roa</b:Last>
            <b:First>Danilse</b:First>
            <b:Middle>Bibiana Aparicio</b:Middle>
          </b:Person>
        </b:NameList>
      </b:BookAuthor>
    </b:Author>
    <b:BookTitle>La Importancia del juego en el proceso enseñanza aprendizaje desde Piaget</b:BookTitle>
    <b:Pages>1</b:Pages>
    <b:RefOrder>4</b:RefOrder>
  </b:Source>
  <b:Source>
    <b:Tag>Kat18</b:Tag>
    <b:SourceType>Report</b:SourceType>
    <b:Guid>{5BEC54BA-FCA4-4E31-A2B5-A9F0A51A9443}</b:Guid>
    <b:Title>La didáctica lúdica, mediadora en el aprendizaje significativo</b:Title>
    <b:Year>2018</b:Year>
    <b:City>Barranquilla</b:City>
    <b:Publisher>Universidad de la Costa</b:Publisher>
    <b:Author>
      <b:Author>
        <b:NameList>
          <b:Person>
            <b:Last>Katia Alcira Pomare Smith</b:Last>
            <b:First>Judith</b:First>
            <b:Middle>Omaira Steele Antonio</b:Middle>
          </b:Person>
        </b:NameList>
      </b:Author>
    </b:Author>
    <b:RefOrder>3</b:RefOrder>
  </b:Source>
  <b:Source>
    <b:Tag>Edw20</b:Tag>
    <b:SourceType>Report</b:SourceType>
    <b:Guid>{F1DD6A60-0C85-4C03-A223-032D76E696EB}</b:Guid>
    <b:Author>
      <b:Author>
        <b:NameList>
          <b:Person>
            <b:Last>Bermeo</b:Last>
            <b:First>Edwin</b:First>
            <b:Middle>Eduardo Paredes</b:Middle>
          </b:Person>
        </b:NameList>
      </b:Author>
    </b:Author>
    <b:Title>Importancia del factor lúdico en el proceso enseñanza-aprendizaje </b:Title>
    <b:Year>2020</b:Year>
    <b:Publisher>Universidad Andina Simón Bolívar</b:Publisher>
    <b:City>Quito</b:City>
    <b:RefOrder>1</b:RefOrder>
  </b:Source>
  <b:Source>
    <b:Tag>Gar15</b:Tag>
    <b:SourceType>Report</b:SourceType>
    <b:Guid>{D7CBD9D9-8C56-4403-A17F-29CC0B3BE91C}</b:Guid>
    <b:Author>
      <b:Author>
        <b:NameList>
          <b:Person>
            <b:Last>Fernández</b:Last>
            <b:First>García</b:First>
          </b:Person>
        </b:NameList>
      </b:Author>
    </b:Author>
    <b:Title>La importancia del juego en el proceso de enseñanza</b:Title>
    <b:Year>2015</b:Year>
    <b:Publisher>Publicaciones Didacticas </b:Publisher>
    <b:RefOrder>2</b:RefOrder>
  </b:Source>
</b:Sources>
</file>

<file path=customXml/itemProps1.xml><?xml version="1.0" encoding="utf-8"?>
<ds:datastoreItem xmlns:ds="http://schemas.openxmlformats.org/officeDocument/2006/customXml" ds:itemID="{886AF789-A7F3-4B78-809A-6A901821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259</Words>
  <Characters>1428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 705</dc:creator>
  <cp:keywords/>
  <dc:description/>
  <cp:lastModifiedBy>SALA 705</cp:lastModifiedBy>
  <cp:revision>1</cp:revision>
  <dcterms:created xsi:type="dcterms:W3CDTF">2024-05-06T19:28:00Z</dcterms:created>
  <dcterms:modified xsi:type="dcterms:W3CDTF">2024-05-06T20:46:00Z</dcterms:modified>
</cp:coreProperties>
</file>