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3B4D" w:rsidRDefault="000D5865">
      <w:pPr>
        <w:rPr>
          <w:lang w:val="es-MX"/>
        </w:rPr>
      </w:pPr>
      <w:sdt>
        <w:sdtPr>
          <w:rPr>
            <w:lang w:val="es-MX"/>
          </w:rPr>
          <w:id w:val="-1555925645"/>
          <w:citation/>
        </w:sdtPr>
        <w:sdtContent>
          <w:r>
            <w:rPr>
              <w:lang w:val="es-MX"/>
            </w:rPr>
            <w:fldChar w:fldCharType="begin"/>
          </w:r>
          <w:r>
            <w:rPr>
              <w:lang w:val="es-MX"/>
            </w:rPr>
            <w:instrText xml:space="preserve"> CITATION Can20 \l 2058 </w:instrText>
          </w:r>
          <w:r>
            <w:rPr>
              <w:lang w:val="es-MX"/>
            </w:rPr>
            <w:fldChar w:fldCharType="separate"/>
          </w:r>
          <w:r>
            <w:rPr>
              <w:noProof/>
              <w:lang w:val="es-MX"/>
            </w:rPr>
            <w:t>(Candela &amp; Benavides, 2020)</w:t>
          </w:r>
          <w:r>
            <w:rPr>
              <w:lang w:val="es-MX"/>
            </w:rPr>
            <w:fldChar w:fldCharType="end"/>
          </w:r>
        </w:sdtContent>
      </w:sdt>
      <w:sdt>
        <w:sdtPr>
          <w:rPr>
            <w:lang w:val="es-MX"/>
          </w:rPr>
          <w:id w:val="1492908914"/>
          <w:citation/>
        </w:sdtPr>
        <w:sdtContent>
          <w:r>
            <w:rPr>
              <w:lang w:val="es-MX"/>
            </w:rPr>
            <w:fldChar w:fldCharType="begin"/>
          </w:r>
          <w:r>
            <w:rPr>
              <w:lang w:val="es-MX"/>
            </w:rPr>
            <w:instrText xml:space="preserve"> CITATION NEV08 \l 2058 </w:instrText>
          </w:r>
          <w:r>
            <w:rPr>
              <w:lang w:val="es-MX"/>
            </w:rPr>
            <w:fldChar w:fldCharType="separate"/>
          </w:r>
          <w:r>
            <w:rPr>
              <w:noProof/>
              <w:lang w:val="es-MX"/>
            </w:rPr>
            <w:t xml:space="preserve"> (NEVADO FUENTES, 2008)</w:t>
          </w:r>
          <w:r>
            <w:rPr>
              <w:lang w:val="es-MX"/>
            </w:rPr>
            <w:fldChar w:fldCharType="end"/>
          </w:r>
        </w:sdtContent>
      </w:sdt>
      <w:sdt>
        <w:sdtPr>
          <w:rPr>
            <w:lang w:val="es-MX"/>
          </w:rPr>
          <w:id w:val="-919408446"/>
          <w:citation/>
        </w:sdtPr>
        <w:sdtContent>
          <w:r>
            <w:rPr>
              <w:lang w:val="es-MX"/>
            </w:rPr>
            <w:fldChar w:fldCharType="begin"/>
          </w:r>
          <w:r>
            <w:rPr>
              <w:lang w:val="es-MX"/>
            </w:rPr>
            <w:instrText xml:space="preserve"> CITATION Ach19 \l 2058 </w:instrText>
          </w:r>
          <w:r>
            <w:rPr>
              <w:lang w:val="es-MX"/>
            </w:rPr>
            <w:fldChar w:fldCharType="separate"/>
          </w:r>
          <w:r>
            <w:rPr>
              <w:noProof/>
              <w:lang w:val="es-MX"/>
            </w:rPr>
            <w:t xml:space="preserve"> (Achavar, 2019)</w:t>
          </w:r>
          <w:r>
            <w:rPr>
              <w:lang w:val="es-MX"/>
            </w:rPr>
            <w:fldChar w:fldCharType="end"/>
          </w:r>
        </w:sdtContent>
      </w:sdt>
    </w:p>
    <w:p w:rsidR="007F4C2F" w:rsidRDefault="007F4C2F">
      <w:pPr>
        <w:rPr>
          <w:lang w:val="es-MX"/>
        </w:rPr>
      </w:pPr>
    </w:p>
    <w:p w:rsidR="007F4C2F" w:rsidRDefault="007F4C2F">
      <w:pPr>
        <w:rPr>
          <w:lang w:val="es-MX"/>
        </w:rPr>
      </w:pPr>
    </w:p>
    <w:p w:rsidR="007F4C2F" w:rsidRDefault="007F4C2F">
      <w:pPr>
        <w:rPr>
          <w:lang w:val="es-MX"/>
        </w:rPr>
      </w:pPr>
      <w:r>
        <w:rPr>
          <w:rFonts w:ascii="Segoe UI" w:hAnsi="Segoe UI" w:cs="Segoe UI"/>
          <w:color w:val="0D0D0D"/>
          <w:shd w:val="clear" w:color="auto" w:fill="FFFFFF"/>
        </w:rPr>
        <w:t>Los juegos en la educación inicial han sido subestimados en términos de investigación y desarrollo académico, a pesar de su importancia metodológica. Sin embargo, se reconoce que el juego no solo es una actividad natural de la infancia, sino también una fuente de aprendizaje permanente con ventajas adaptativas. En el ámbito educativo, especialmente en la enseñanza de ELE, las actividades lúdicas generan un ambiente propicio para un aprendizaje significativo y efectivo. Estas actividades no solo desarrollan habilidades, relaciones y sentido del humor, sino que también aumentan la motivación de los estudiantes y fortalecen su disposición para trabajar en el aula. Además, se ha demostrado que el juego promueve el pensamiento creativo, la resolución de problemas, el alivio de tensiones y ansiedades, y enriquece la autoestima y el desarrollo del lenguaje. En resumen, el juego no solo es una herramienta pedagógica, sino también una actividad clave para la formación integral de los estudiantes, promoviendo su equilibrio estético y moral en su interacción con el entorno.</w:t>
      </w:r>
      <w:bookmarkStart w:id="0" w:name="_GoBack"/>
      <w:bookmarkEnd w:id="0"/>
    </w:p>
    <w:p w:rsidR="007F4C2F" w:rsidRDefault="007F4C2F">
      <w:pPr>
        <w:rPr>
          <w:lang w:val="es-MX"/>
        </w:rPr>
      </w:pPr>
    </w:p>
    <w:p w:rsidR="007F4C2F" w:rsidRDefault="007F4C2F">
      <w:pPr>
        <w:rPr>
          <w:lang w:val="es-MX"/>
        </w:rPr>
      </w:pPr>
    </w:p>
    <w:p w:rsidR="007F4C2F" w:rsidRDefault="007F4C2F">
      <w:pPr>
        <w:rPr>
          <w:lang w:val="es-MX"/>
        </w:rPr>
      </w:pPr>
    </w:p>
    <w:p w:rsidR="007F4C2F" w:rsidRDefault="007F4C2F">
      <w:pPr>
        <w:rPr>
          <w:lang w:val="es-MX"/>
        </w:rPr>
      </w:pPr>
    </w:p>
    <w:p w:rsidR="007F4C2F" w:rsidRPr="00D24872" w:rsidRDefault="007F4C2F">
      <w:pPr>
        <w:rPr>
          <w:lang w:val="es-MX"/>
        </w:rPr>
      </w:pPr>
    </w:p>
    <w:sectPr w:rsidR="007F4C2F" w:rsidRPr="00D2487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3E9"/>
    <w:rsid w:val="000D5865"/>
    <w:rsid w:val="0023415A"/>
    <w:rsid w:val="0074523D"/>
    <w:rsid w:val="007F4C2F"/>
    <w:rsid w:val="00B94DFC"/>
    <w:rsid w:val="00BC2F7D"/>
    <w:rsid w:val="00D24872"/>
    <w:rsid w:val="00F213E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4F335"/>
  <w15:chartTrackingRefBased/>
  <w15:docId w15:val="{BD169717-9D0A-4570-B0FA-9AC2A962D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864891">
      <w:bodyDiv w:val="1"/>
      <w:marLeft w:val="0"/>
      <w:marRight w:val="0"/>
      <w:marTop w:val="0"/>
      <w:marBottom w:val="0"/>
      <w:divBdr>
        <w:top w:val="none" w:sz="0" w:space="0" w:color="auto"/>
        <w:left w:val="none" w:sz="0" w:space="0" w:color="auto"/>
        <w:bottom w:val="none" w:sz="0" w:space="0" w:color="auto"/>
        <w:right w:val="none" w:sz="0" w:space="0" w:color="auto"/>
      </w:divBdr>
    </w:div>
    <w:div w:id="1310553735">
      <w:bodyDiv w:val="1"/>
      <w:marLeft w:val="0"/>
      <w:marRight w:val="0"/>
      <w:marTop w:val="0"/>
      <w:marBottom w:val="0"/>
      <w:divBdr>
        <w:top w:val="none" w:sz="0" w:space="0" w:color="auto"/>
        <w:left w:val="none" w:sz="0" w:space="0" w:color="auto"/>
        <w:bottom w:val="none" w:sz="0" w:space="0" w:color="auto"/>
        <w:right w:val="none" w:sz="0" w:space="0" w:color="auto"/>
      </w:divBdr>
    </w:div>
    <w:div w:id="1441335172">
      <w:bodyDiv w:val="1"/>
      <w:marLeft w:val="0"/>
      <w:marRight w:val="0"/>
      <w:marTop w:val="0"/>
      <w:marBottom w:val="0"/>
      <w:divBdr>
        <w:top w:val="none" w:sz="0" w:space="0" w:color="auto"/>
        <w:left w:val="none" w:sz="0" w:space="0" w:color="auto"/>
        <w:bottom w:val="none" w:sz="0" w:space="0" w:color="auto"/>
        <w:right w:val="none" w:sz="0" w:space="0" w:color="auto"/>
      </w:divBdr>
    </w:div>
    <w:div w:id="1453088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Can20</b:Tag>
    <b:SourceType>BookSection</b:SourceType>
    <b:Guid>{8C8823AF-6E77-4872-B4D0-C88FD17F54F9}</b:Guid>
    <b:Title>Actividades lúdicas en el proceso de enseñanza-aprendizaje de los estudiantes de básica superior</b:Title>
    <b:Year>2020</b:Year>
    <b:City> Portoviejo , Manabí</b:City>
    <b:Author>
      <b:Author>
        <b:NameList>
          <b:Person>
            <b:Last>Candela</b:Last>
            <b:First>Yesenia</b:First>
          </b:Person>
          <b:Person>
            <b:Last>Benavides</b:Last>
            <b:First>Jeovanny</b:First>
          </b:Person>
        </b:NameList>
      </b:Author>
      <b:BookAuthor>
        <b:NameList>
          <b:Person>
            <b:Last>Candela</b:Last>
            <b:First>Yesenia</b:First>
          </b:Person>
          <b:Person>
            <b:Last>Benavides</b:Last>
            <b:First>Jeovanny</b:First>
          </b:Person>
        </b:NameList>
      </b:BookAuthor>
    </b:Author>
    <b:BookTitle>Actividades lúdicas en el proceso de enseñanza-aprendizaje de los estudiantes de básica superior</b:BookTitle>
    <b:RefOrder>1</b:RefOrder>
  </b:Source>
  <b:Source>
    <b:Tag>NEV08</b:Tag>
    <b:SourceType>BookSection</b:SourceType>
    <b:Guid>{329C2038-B35F-47AF-B7E5-EE0B5284C36A}</b:Guid>
    <b:Author>
      <b:Author>
        <b:NameList>
          <b:Person>
            <b:Last>NEVADO FUENTES</b:Last>
            <b:First>CHARO</b:First>
          </b:Person>
        </b:NameList>
      </b:Author>
      <b:BookAuthor>
        <b:NameList>
          <b:Person>
            <b:Last>NEVADO FUENTES</b:Last>
            <b:First>CHARO</b:First>
          </b:Person>
        </b:NameList>
      </b:BookAuthor>
    </b:Author>
    <b:Title>El componente lúdico en las clases de ELE</b:Title>
    <b:BookTitle>El componente lúdico en las clases de ELE</b:BookTitle>
    <b:Year>2008</b:Year>
    <b:Pages>15</b:Pages>
    <b:City>València, España</b:City>
    <b:RefOrder>2</b:RefOrder>
  </b:Source>
  <b:Source>
    <b:Tag>Ach19</b:Tag>
    <b:SourceType>BookSection</b:SourceType>
    <b:Guid>{7A367B8D-BC4C-46DA-8408-771C91C84E6C}</b:Guid>
    <b:Author>
      <b:Author>
        <b:NameList>
          <b:Person>
            <b:Last>Achavar</b:Last>
            <b:First>Cristina</b:First>
          </b:Person>
        </b:NameList>
      </b:Author>
      <b:BookAuthor>
        <b:NameList>
          <b:Person>
            <b:Last>Achavar</b:Last>
            <b:First>Cristina</b:First>
          </b:Person>
        </b:NameList>
      </b:BookAuthor>
    </b:Author>
    <b:Title>Beneficios del juego en la acción pedagógica</b:Title>
    <b:BookTitle>Beneficios del juego en la acción pedagógica</b:BookTitle>
    <b:Year>2019</b:Year>
    <b:Pages>8</b:Pages>
    <b:RefOrder>3</b:RefOrder>
  </b:Source>
</b:Sources>
</file>

<file path=customXml/itemProps1.xml><?xml version="1.0" encoding="utf-8"?>
<ds:datastoreItem xmlns:ds="http://schemas.openxmlformats.org/officeDocument/2006/customXml" ds:itemID="{3072E8D5-3517-44FA-BD40-C8108939E9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Pages>
  <Words>190</Words>
  <Characters>1051</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SALA 705</dc:creator>
  <cp:keywords/>
  <dc:description/>
  <cp:lastModifiedBy>SALA 705</cp:lastModifiedBy>
  <cp:revision>2</cp:revision>
  <dcterms:created xsi:type="dcterms:W3CDTF">2024-05-06T19:28:00Z</dcterms:created>
  <dcterms:modified xsi:type="dcterms:W3CDTF">2024-05-06T20:47:00Z</dcterms:modified>
</cp:coreProperties>
</file>