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022" w:rsidRDefault="00266135" w:rsidP="00266135">
      <w:pPr>
        <w:jc w:val="both"/>
      </w:pPr>
      <w:r>
        <w:t xml:space="preserve">Según </w:t>
      </w:r>
      <w:sdt>
        <w:sdtPr>
          <w:id w:val="-334235749"/>
          <w:citation/>
        </w:sdtPr>
        <w:sdtEndPr/>
        <w:sdtContent>
          <w:r>
            <w:fldChar w:fldCharType="begin"/>
          </w:r>
          <w:r>
            <w:rPr>
              <w:lang w:val="es-MX"/>
            </w:rPr>
            <w:instrText xml:space="preserve"> CITATION Orm231 \l 2058 </w:instrText>
          </w:r>
          <w:r>
            <w:fldChar w:fldCharType="separate"/>
          </w:r>
          <w:r>
            <w:rPr>
              <w:noProof/>
              <w:lang w:val="es-MX"/>
            </w:rPr>
            <w:t>(Ormazába, Hernández, &amp; Zúñiga, 2023)</w:t>
          </w:r>
          <w:r>
            <w:fldChar w:fldCharType="end"/>
          </w:r>
        </w:sdtContent>
      </w:sdt>
      <w:r w:rsidR="00514022">
        <w:t xml:space="preserve"> </w:t>
      </w:r>
      <w:r w:rsidR="00514022" w:rsidRPr="00514022">
        <w:t xml:space="preserve">el juego puede desempeñar un papel crucial como estrategia para fortalecer aprendizajes, realizar autoevaluaciones y fomentar el trabajo en equipo, transformando la comprensión de la enseñanza. Introducir elementos lúdicos en el aula puede cambiar la manera en que procesamos la información, mejorando el vínculo cooperativo entre compañeros, así como avanzar hacia una dinámica </w:t>
      </w:r>
      <w:r w:rsidR="00514022">
        <w:t>de clase activa y bidireccional.</w:t>
      </w:r>
      <w:r w:rsidR="00514022" w:rsidRPr="00514022">
        <w:t xml:space="preserve"> </w:t>
      </w:r>
      <w:r w:rsidR="00514022">
        <w:t>Además, como señalan</w:t>
      </w:r>
      <w:sdt>
        <w:sdtPr>
          <w:id w:val="895552338"/>
          <w:citation/>
        </w:sdtPr>
        <w:sdtEndPr/>
        <w:sdtContent>
          <w:r>
            <w:fldChar w:fldCharType="begin"/>
          </w:r>
          <w:r>
            <w:rPr>
              <w:lang w:val="es-MX"/>
            </w:rPr>
            <w:instrText xml:space="preserve"> CITATION Cas24 \l 2058 </w:instrText>
          </w:r>
          <w:r>
            <w:fldChar w:fldCharType="separate"/>
          </w:r>
          <w:r>
            <w:rPr>
              <w:noProof/>
              <w:lang w:val="es-MX"/>
            </w:rPr>
            <w:t xml:space="preserve"> (Castillo, Maza, &amp; García, 2024)</w:t>
          </w:r>
          <w:r>
            <w:fldChar w:fldCharType="end"/>
          </w:r>
        </w:sdtContent>
      </w:sdt>
      <w:r w:rsidR="00455EEA">
        <w:t xml:space="preserve"> l</w:t>
      </w:r>
      <w:r w:rsidR="00455EEA" w:rsidRPr="00455EEA">
        <w:t>as estrategias de enseñanza no deben basarse exclusivamente en un aprendizaje teórico para posteriormente comunicar o transmitir la experiencia alcanzada</w:t>
      </w:r>
      <w:r w:rsidR="00514022">
        <w:t xml:space="preserve"> en el aula de clases, el conjunto</w:t>
      </w:r>
      <w:r w:rsidR="00455EEA" w:rsidRPr="00455EEA">
        <w:t xml:space="preserve"> de conocimientos, las des</w:t>
      </w:r>
      <w:r w:rsidR="001A4485">
        <w:t>trezas y competencias, sino que</w:t>
      </w:r>
      <w:r w:rsidR="001A4485" w:rsidRPr="001A4485">
        <w:t xml:space="preserve"> deben incorporar herramientas lúdicas </w:t>
      </w:r>
      <w:r w:rsidR="00455EEA" w:rsidRPr="00455EEA">
        <w:t>para facilitar el aprendizaje y profundizar la interacción estudiante-docente, creando ambientes propicios  para  desarrollar  hábitos  y  reflexiones  adicionales  que  optimicen  la  ca</w:t>
      </w:r>
      <w:r w:rsidR="001A4485">
        <w:t>ptación  de  un determinado tema.</w:t>
      </w:r>
      <w:r w:rsidR="006662FB">
        <w:t xml:space="preserve"> </w:t>
      </w:r>
      <w:r w:rsidR="001A4485" w:rsidRPr="001A4485">
        <w:t xml:space="preserve">Por consiguiente </w:t>
      </w:r>
      <w:sdt>
        <w:sdtPr>
          <w:id w:val="1939324400"/>
          <w:citation/>
        </w:sdtPr>
        <w:sdtContent>
          <w:r w:rsidR="006662FB">
            <w:fldChar w:fldCharType="begin"/>
          </w:r>
          <w:r w:rsidR="006662FB">
            <w:rPr>
              <w:lang w:val="es-MX"/>
            </w:rPr>
            <w:instrText xml:space="preserve"> CITATION Que24 \l 2058 </w:instrText>
          </w:r>
          <w:r w:rsidR="006662FB">
            <w:fldChar w:fldCharType="separate"/>
          </w:r>
          <w:r w:rsidR="006662FB">
            <w:rPr>
              <w:noProof/>
              <w:lang w:val="es-MX"/>
            </w:rPr>
            <w:t>(Quevedo, Bajaña, &amp; Mireya, 2024)</w:t>
          </w:r>
          <w:r w:rsidR="006662FB">
            <w:fldChar w:fldCharType="end"/>
          </w:r>
        </w:sdtContent>
      </w:sdt>
      <w:r w:rsidR="00514022">
        <w:t xml:space="preserve"> </w:t>
      </w:r>
      <w:r w:rsidR="001A4485" w:rsidRPr="001A4485">
        <w:t>subraya el valor del juego como un recurso esencial para crear entornos educativos estimulantes, donde los estudiantes pueden cultivar habilidades, potenciar la creatividad y abrazar activamente el proceso de aprendizaje en un ambiente divertido y enriquecedor.</w:t>
      </w:r>
      <w:bookmarkStart w:id="0" w:name="_GoBack"/>
      <w:bookmarkEnd w:id="0"/>
    </w:p>
    <w:p w:rsidR="001A4485" w:rsidRPr="00266135" w:rsidRDefault="00514022" w:rsidP="00266135">
      <w:pPr>
        <w:jc w:val="both"/>
      </w:pPr>
      <w:r>
        <w:br/>
      </w:r>
    </w:p>
    <w:sdt>
      <w:sdtPr>
        <w:rPr>
          <w:lang w:val="es-ES"/>
        </w:rPr>
        <w:id w:val="572863984"/>
        <w:docPartObj>
          <w:docPartGallery w:val="Bibliographies"/>
          <w:docPartUnique/>
        </w:docPartObj>
      </w:sdtPr>
      <w:sdtEndPr>
        <w:rPr>
          <w:rFonts w:asciiTheme="minorHAnsi" w:eastAsiaTheme="minorHAnsi" w:hAnsiTheme="minorHAnsi" w:cstheme="minorBidi"/>
          <w:color w:val="auto"/>
          <w:sz w:val="22"/>
          <w:szCs w:val="22"/>
          <w:lang w:val="es-CO" w:eastAsia="en-US"/>
        </w:rPr>
      </w:sdtEndPr>
      <w:sdtContent>
        <w:p w:rsidR="001A4485" w:rsidRDefault="001A4485">
          <w:pPr>
            <w:pStyle w:val="Ttulo1"/>
          </w:pPr>
          <w:r>
            <w:rPr>
              <w:lang w:val="es-ES"/>
            </w:rPr>
            <w:t>Bibliografía</w:t>
          </w:r>
        </w:p>
        <w:sdt>
          <w:sdtPr>
            <w:id w:val="111145805"/>
            <w:bibliography/>
          </w:sdtPr>
          <w:sdtContent>
            <w:p w:rsidR="001A4485" w:rsidRDefault="001A4485" w:rsidP="001A4485">
              <w:pPr>
                <w:pStyle w:val="Bibliografa"/>
                <w:ind w:left="720" w:hanging="720"/>
                <w:rPr>
                  <w:noProof/>
                  <w:sz w:val="24"/>
                  <w:szCs w:val="24"/>
                  <w:lang w:val="es-ES"/>
                </w:rPr>
              </w:pPr>
              <w:r>
                <w:fldChar w:fldCharType="begin"/>
              </w:r>
              <w:r>
                <w:instrText>BIBLIOGRAPHY</w:instrText>
              </w:r>
              <w:r>
                <w:fldChar w:fldCharType="separate"/>
              </w:r>
              <w:r>
                <w:rPr>
                  <w:noProof/>
                  <w:lang w:val="es-ES"/>
                </w:rPr>
                <w:t>(s.f.).</w:t>
              </w:r>
            </w:p>
            <w:p w:rsidR="001A4485" w:rsidRDefault="001A4485" w:rsidP="001A4485">
              <w:pPr>
                <w:pStyle w:val="Bibliografa"/>
                <w:ind w:left="720" w:hanging="720"/>
                <w:rPr>
                  <w:noProof/>
                  <w:lang w:val="es-ES"/>
                </w:rPr>
              </w:pPr>
              <w:r>
                <w:rPr>
                  <w:noProof/>
                  <w:lang w:val="es-ES"/>
                </w:rPr>
                <w:t xml:space="preserve">Castillo, L., Maza, R., &amp; García, B. (2024). Actividades lúdicas como estrategia pedagógica para fortalecer el aprendizaje en la asignatura Anatomía y Fisiología Humana. </w:t>
              </w:r>
              <w:r>
                <w:rPr>
                  <w:i/>
                  <w:iCs/>
                  <w:noProof/>
                  <w:lang w:val="es-ES"/>
                </w:rPr>
                <w:t>Revista Educación</w:t>
              </w:r>
              <w:r>
                <w:rPr>
                  <w:noProof/>
                  <w:lang w:val="es-ES"/>
                </w:rPr>
                <w:t>. doi:https://doi.org/10.15517/revedu.v48i1.56006</w:t>
              </w:r>
            </w:p>
            <w:p w:rsidR="001A4485" w:rsidRDefault="001A4485" w:rsidP="001A4485">
              <w:pPr>
                <w:pStyle w:val="Bibliografa"/>
                <w:ind w:left="720" w:hanging="720"/>
                <w:rPr>
                  <w:noProof/>
                  <w:lang w:val="es-ES"/>
                </w:rPr>
              </w:pPr>
              <w:r>
                <w:rPr>
                  <w:noProof/>
                  <w:lang w:val="es-ES"/>
                </w:rPr>
                <w:t xml:space="preserve">Ormazába, V., Hernández, L., &amp; Zúñiga, F. (2023). El juego como herramienta de aprendizaje eneducación superior. </w:t>
              </w:r>
              <w:r>
                <w:rPr>
                  <w:i/>
                  <w:iCs/>
                  <w:noProof/>
                  <w:lang w:val="es-ES"/>
                </w:rPr>
                <w:t>Revista Electrónica de Investigación Educativa</w:t>
              </w:r>
              <w:r>
                <w:rPr>
                  <w:noProof/>
                  <w:lang w:val="es-ES"/>
                </w:rPr>
                <w:t>, 1-11. doi:https://doi.org/10.24320/redie.2023.25.e28.4952</w:t>
              </w:r>
            </w:p>
            <w:p w:rsidR="001A4485" w:rsidRDefault="001A4485" w:rsidP="001A4485">
              <w:pPr>
                <w:pStyle w:val="Bibliografa"/>
                <w:ind w:left="720" w:hanging="720"/>
                <w:rPr>
                  <w:noProof/>
                  <w:lang w:val="es-ES"/>
                </w:rPr>
              </w:pPr>
              <w:r>
                <w:rPr>
                  <w:noProof/>
                  <w:lang w:val="es-ES"/>
                </w:rPr>
                <w:t xml:space="preserve">Quevedo, M., Bajaña, T., &amp; Mireya, Z. (2024). Actividad lúdica y su impacto en el proceso de aprendizaje en los niños del subnivel de preparatoria en la Unidad Educativa “Gabriela Mistral # 1”, Catamayo. </w:t>
              </w:r>
              <w:r>
                <w:rPr>
                  <w:i/>
                  <w:iCs/>
                  <w:noProof/>
                  <w:lang w:val="es-ES"/>
                </w:rPr>
                <w:t>MQRInvestigar</w:t>
              </w:r>
              <w:r>
                <w:rPr>
                  <w:noProof/>
                  <w:lang w:val="es-ES"/>
                </w:rPr>
                <w:t>. doi:https://doi.org/10.56048/MQR20225.8.1.2024.3196-3216</w:t>
              </w:r>
            </w:p>
            <w:p w:rsidR="001A4485" w:rsidRDefault="001A4485" w:rsidP="001A4485">
              <w:r>
                <w:rPr>
                  <w:b/>
                  <w:bCs/>
                </w:rPr>
                <w:fldChar w:fldCharType="end"/>
              </w:r>
            </w:p>
          </w:sdtContent>
        </w:sdt>
      </w:sdtContent>
    </w:sdt>
    <w:p w:rsidR="00514022" w:rsidRPr="00266135" w:rsidRDefault="00514022" w:rsidP="00266135">
      <w:pPr>
        <w:jc w:val="both"/>
      </w:pPr>
    </w:p>
    <w:sectPr w:rsidR="00514022" w:rsidRPr="0026613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135"/>
    <w:rsid w:val="001A4485"/>
    <w:rsid w:val="00266135"/>
    <w:rsid w:val="00455EEA"/>
    <w:rsid w:val="00514022"/>
    <w:rsid w:val="006662FB"/>
    <w:rsid w:val="006728E5"/>
    <w:rsid w:val="00792DB4"/>
    <w:rsid w:val="00AD3B27"/>
    <w:rsid w:val="00B51D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AF2F7"/>
  <w15:chartTrackingRefBased/>
  <w15:docId w15:val="{3E2E1C1C-5068-44FA-9C74-37CBE060A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A4485"/>
    <w:pPr>
      <w:keepNext/>
      <w:keepLines/>
      <w:spacing w:before="240" w:after="0"/>
      <w:outlineLvl w:val="0"/>
    </w:pPr>
    <w:rPr>
      <w:rFonts w:asciiTheme="majorHAnsi" w:eastAsiaTheme="majorEastAsia" w:hAnsiTheme="majorHAnsi" w:cstheme="majorBidi"/>
      <w:color w:val="2F5496" w:themeColor="accent1" w:themeShade="BF"/>
      <w:sz w:val="32"/>
      <w:szCs w:val="32"/>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4485"/>
    <w:rPr>
      <w:rFonts w:asciiTheme="majorHAnsi" w:eastAsiaTheme="majorEastAsia" w:hAnsiTheme="majorHAnsi" w:cstheme="majorBidi"/>
      <w:color w:val="2F5496" w:themeColor="accent1" w:themeShade="BF"/>
      <w:sz w:val="32"/>
      <w:szCs w:val="32"/>
      <w:lang w:eastAsia="es-CO"/>
    </w:rPr>
  </w:style>
  <w:style w:type="paragraph" w:styleId="Bibliografa">
    <w:name w:val="Bibliography"/>
    <w:basedOn w:val="Normal"/>
    <w:next w:val="Normal"/>
    <w:uiPriority w:val="37"/>
    <w:unhideWhenUsed/>
    <w:rsid w:val="001A4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34022">
      <w:bodyDiv w:val="1"/>
      <w:marLeft w:val="0"/>
      <w:marRight w:val="0"/>
      <w:marTop w:val="0"/>
      <w:marBottom w:val="0"/>
      <w:divBdr>
        <w:top w:val="none" w:sz="0" w:space="0" w:color="auto"/>
        <w:left w:val="none" w:sz="0" w:space="0" w:color="auto"/>
        <w:bottom w:val="none" w:sz="0" w:space="0" w:color="auto"/>
        <w:right w:val="none" w:sz="0" w:space="0" w:color="auto"/>
      </w:divBdr>
    </w:div>
    <w:div w:id="977340384">
      <w:bodyDiv w:val="1"/>
      <w:marLeft w:val="0"/>
      <w:marRight w:val="0"/>
      <w:marTop w:val="0"/>
      <w:marBottom w:val="0"/>
      <w:divBdr>
        <w:top w:val="none" w:sz="0" w:space="0" w:color="auto"/>
        <w:left w:val="none" w:sz="0" w:space="0" w:color="auto"/>
        <w:bottom w:val="none" w:sz="0" w:space="0" w:color="auto"/>
        <w:right w:val="none" w:sz="0" w:space="0" w:color="auto"/>
      </w:divBdr>
    </w:div>
    <w:div w:id="1127628953">
      <w:bodyDiv w:val="1"/>
      <w:marLeft w:val="0"/>
      <w:marRight w:val="0"/>
      <w:marTop w:val="0"/>
      <w:marBottom w:val="0"/>
      <w:divBdr>
        <w:top w:val="none" w:sz="0" w:space="0" w:color="auto"/>
        <w:left w:val="none" w:sz="0" w:space="0" w:color="auto"/>
        <w:bottom w:val="none" w:sz="0" w:space="0" w:color="auto"/>
        <w:right w:val="none" w:sz="0" w:space="0" w:color="auto"/>
      </w:divBdr>
    </w:div>
    <w:div w:id="1569345275">
      <w:bodyDiv w:val="1"/>
      <w:marLeft w:val="0"/>
      <w:marRight w:val="0"/>
      <w:marTop w:val="0"/>
      <w:marBottom w:val="0"/>
      <w:divBdr>
        <w:top w:val="none" w:sz="0" w:space="0" w:color="auto"/>
        <w:left w:val="none" w:sz="0" w:space="0" w:color="auto"/>
        <w:bottom w:val="none" w:sz="0" w:space="0" w:color="auto"/>
        <w:right w:val="none" w:sz="0" w:space="0" w:color="auto"/>
      </w:divBdr>
    </w:div>
    <w:div w:id="165853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MarcadorDePosición1</b:Tag>
    <b:SourceType>JournalArticle</b:SourceType>
    <b:Guid>{E4672CEC-3335-456C-96CC-984DA2EEE15D}</b:Guid>
    <b:RefOrder>4</b:RefOrder>
  </b:Source>
  <b:Source>
    <b:Tag>Orm231</b:Tag>
    <b:SourceType>JournalArticle</b:SourceType>
    <b:Guid>{48226DED-A957-41A5-ABC6-DD3077C3C868}</b:Guid>
    <b:Author>
      <b:Author>
        <b:NameList>
          <b:Person>
            <b:Last>Ormazába</b:Last>
            <b:First>Valeska</b:First>
          </b:Person>
          <b:Person>
            <b:Last>Hernández</b:Last>
            <b:First>Lilian</b:First>
          </b:Person>
          <b:Person>
            <b:Last>Zúñiga</b:Last>
            <b:First>Felipe</b:First>
          </b:Person>
        </b:NameList>
      </b:Author>
    </b:Author>
    <b:Title>El juego como herramienta de aprendizaje eneducación superior</b:Title>
    <b:JournalName>Revista Electrónica de Investigación Educativa</b:JournalName>
    <b:Year>2023</b:Year>
    <b:Pages>1-11</b:Pages>
    <b:URL>https://redie.uabc.mx/redie/article/view/4952</b:URL>
    <b:DOI>https://doi.org/10.24320/redie.2023.25.e28.4952</b:DOI>
    <b:RefOrder>1</b:RefOrder>
  </b:Source>
  <b:Source>
    <b:Tag>Cas24</b:Tag>
    <b:SourceType>JournalArticle</b:SourceType>
    <b:Guid>{5E7A772C-2FA3-4D21-9B9B-C8D9080520B5}</b:Guid>
    <b:Author>
      <b:Author>
        <b:NameList>
          <b:Person>
            <b:Last>Castillo</b:Last>
            <b:First>Lanza</b:First>
          </b:Person>
          <b:Person>
            <b:Last>Maza</b:Last>
            <b:First>Romero</b:First>
          </b:Person>
          <b:Person>
            <b:Last>García</b:Last>
            <b:First>Bennasar</b:First>
          </b:Person>
        </b:NameList>
      </b:Author>
    </b:Author>
    <b:Title>Actividades lúdicas como estrategia pedagógica para fortalecer el aprendizaje en la asignatura Anatomía y Fisiología Humana</b:Title>
    <b:JournalName>Revista Educación</b:JournalName>
    <b:Year>2024</b:Year>
    <b:URL>https://revistas.ucr.ac.cr/index.php/educacion/article/view/56006</b:URL>
    <b:DOI>https://doi.org/10.15517/revedu.v48i1.56006</b:DOI>
    <b:RefOrder>2</b:RefOrder>
  </b:Source>
  <b:Source>
    <b:Tag>Que24</b:Tag>
    <b:SourceType>JournalArticle</b:SourceType>
    <b:Guid>{2E7806F6-C034-4999-A3B8-810D7A7E7079}</b:Guid>
    <b:Title>Actividad lúdica y su impacto en el proceso de aprendizaje en los niños del subnivel de preparatoria en la Unidad Educativa “Gabriela Mistral # 1”, Catamayo.</b:Title>
    <b:Year>2024</b:Year>
    <b:Author>
      <b:Author>
        <b:NameList>
          <b:Person>
            <b:Last>Quevedo</b:Last>
            <b:First>Mayra</b:First>
          </b:Person>
          <b:Person>
            <b:Last>Bajaña</b:Last>
            <b:First>Taina</b:First>
          </b:Person>
          <b:Person>
            <b:Last>Mireya</b:Last>
            <b:First>Zuñiga</b:First>
          </b:Person>
        </b:NameList>
      </b:Author>
    </b:Author>
    <b:JournalName>MQRInvestigar</b:JournalName>
    <b:DOI>https://doi.org/10.56048/MQR20225.8.1.2024.3196-3216</b:DOI>
    <b:RefOrder>3</b:RefOrder>
  </b:Source>
</b:Sources>
</file>

<file path=customXml/itemProps1.xml><?xml version="1.0" encoding="utf-8"?>
<ds:datastoreItem xmlns:ds="http://schemas.openxmlformats.org/officeDocument/2006/customXml" ds:itemID="{759E29D3-2FB2-4DDC-8337-FE6558A6B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337</Words>
  <Characters>1855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 704</dc:creator>
  <cp:keywords/>
  <dc:description/>
  <cp:lastModifiedBy>danna rojas</cp:lastModifiedBy>
  <cp:revision>2</cp:revision>
  <dcterms:created xsi:type="dcterms:W3CDTF">2024-05-04T16:08:00Z</dcterms:created>
  <dcterms:modified xsi:type="dcterms:W3CDTF">2024-05-11T12:05:00Z</dcterms:modified>
</cp:coreProperties>
</file>