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68548" w14:textId="440F01C8" w:rsidR="00374E21" w:rsidRPr="00DC4087" w:rsidRDefault="00DC4087">
      <w:pPr>
        <w:rPr>
          <w:rFonts w:ascii="Times New Roman" w:hAnsi="Times New Roman" w:cs="Times New Roman"/>
          <w:b/>
          <w:sz w:val="24"/>
          <w:szCs w:val="24"/>
        </w:rPr>
      </w:pPr>
      <w:r w:rsidRPr="00DC4087">
        <w:rPr>
          <w:rFonts w:ascii="Times New Roman" w:hAnsi="Times New Roman" w:cs="Times New Roman"/>
          <w:b/>
          <w:sz w:val="24"/>
          <w:szCs w:val="24"/>
        </w:rPr>
        <w:t xml:space="preserve">Beneficios del juego del aprendizaje </w:t>
      </w:r>
      <w:r w:rsidR="00B01185">
        <w:rPr>
          <w:rFonts w:ascii="Times New Roman" w:hAnsi="Times New Roman" w:cs="Times New Roman"/>
          <w:b/>
          <w:sz w:val="24"/>
          <w:szCs w:val="24"/>
        </w:rPr>
        <w:t xml:space="preserve"> Ejemplo </w:t>
      </w:r>
    </w:p>
    <w:p w14:paraId="332402C8" w14:textId="77777777" w:rsidR="00DC4087" w:rsidRPr="00DC4087" w:rsidRDefault="00DC4087">
      <w:pPr>
        <w:rPr>
          <w:rFonts w:ascii="Times New Roman" w:hAnsi="Times New Roman" w:cs="Times New Roman"/>
          <w:sz w:val="24"/>
          <w:szCs w:val="24"/>
        </w:rPr>
      </w:pPr>
      <w:r w:rsidRPr="00DC4087">
        <w:rPr>
          <w:rFonts w:ascii="Times New Roman" w:hAnsi="Times New Roman" w:cs="Times New Roman"/>
          <w:b/>
          <w:sz w:val="24"/>
          <w:szCs w:val="24"/>
        </w:rPr>
        <w:t>Según (</w:t>
      </w:r>
      <w:sdt>
        <w:sdtPr>
          <w:rPr>
            <w:rFonts w:ascii="Times New Roman" w:hAnsi="Times New Roman" w:cs="Times New Roman"/>
            <w:b/>
            <w:sz w:val="24"/>
            <w:szCs w:val="24"/>
          </w:rPr>
          <w:id w:val="1244985666"/>
          <w:citation/>
        </w:sdtPr>
        <w:sdtEndPr/>
        <w:sdtContent>
          <w:r w:rsidRPr="00DC4087">
            <w:rPr>
              <w:rFonts w:ascii="Times New Roman" w:hAnsi="Times New Roman" w:cs="Times New Roman"/>
              <w:b/>
              <w:sz w:val="24"/>
              <w:szCs w:val="24"/>
            </w:rPr>
            <w:fldChar w:fldCharType="begin"/>
          </w:r>
          <w:r w:rsidRPr="00DC4087">
            <w:rPr>
              <w:rFonts w:ascii="Times New Roman" w:hAnsi="Times New Roman" w:cs="Times New Roman"/>
              <w:b/>
              <w:sz w:val="24"/>
              <w:szCs w:val="24"/>
            </w:rPr>
            <w:instrText xml:space="preserve">CITATION Adu23 \l 9226 </w:instrText>
          </w:r>
          <w:r w:rsidRPr="00DC4087">
            <w:rPr>
              <w:rFonts w:ascii="Times New Roman" w:hAnsi="Times New Roman" w:cs="Times New Roman"/>
              <w:b/>
              <w:sz w:val="24"/>
              <w:szCs w:val="24"/>
            </w:rPr>
            <w:fldChar w:fldCharType="separate"/>
          </w:r>
          <w:r w:rsidRPr="00DC4087">
            <w:rPr>
              <w:rFonts w:ascii="Times New Roman" w:hAnsi="Times New Roman" w:cs="Times New Roman"/>
              <w:b/>
              <w:noProof/>
              <w:sz w:val="24"/>
              <w:szCs w:val="24"/>
            </w:rPr>
            <w:t xml:space="preserve"> </w:t>
          </w:r>
          <w:r w:rsidRPr="00DC4087">
            <w:rPr>
              <w:rFonts w:ascii="Times New Roman" w:hAnsi="Times New Roman" w:cs="Times New Roman"/>
              <w:noProof/>
              <w:sz w:val="24"/>
              <w:szCs w:val="24"/>
            </w:rPr>
            <w:t>(Aduvire, Lourdes.Guisela &amp; Magaly;, 2023)</w:t>
          </w:r>
          <w:r w:rsidRPr="00DC4087">
            <w:rPr>
              <w:rFonts w:ascii="Times New Roman" w:hAnsi="Times New Roman" w:cs="Times New Roman"/>
              <w:b/>
              <w:sz w:val="24"/>
              <w:szCs w:val="24"/>
            </w:rPr>
            <w:fldChar w:fldCharType="end"/>
          </w:r>
        </w:sdtContent>
      </w:sdt>
      <w:r w:rsidRPr="00DC4087">
        <w:rPr>
          <w:rFonts w:ascii="Times New Roman" w:hAnsi="Times New Roman" w:cs="Times New Roman"/>
          <w:b/>
          <w:sz w:val="24"/>
          <w:szCs w:val="24"/>
        </w:rPr>
        <w:t xml:space="preserve"> </w:t>
      </w:r>
      <w:r w:rsidRPr="00DC4087">
        <w:rPr>
          <w:rFonts w:ascii="Times New Roman" w:hAnsi="Times New Roman" w:cs="Times New Roman"/>
          <w:sz w:val="24"/>
          <w:szCs w:val="24"/>
        </w:rPr>
        <w:t>el juego debe ser teniendo en cuenta como una herramienta poderosa en el proceso de enseñanza- aprendizaje favoreciendo la puesta en práctica de los conocimientos. en la sintonía (</w:t>
      </w:r>
      <w:proofErr w:type="spellStart"/>
      <w:r w:rsidRPr="00DC4087">
        <w:rPr>
          <w:rFonts w:ascii="Times New Roman" w:hAnsi="Times New Roman" w:cs="Times New Roman"/>
          <w:sz w:val="24"/>
          <w:szCs w:val="24"/>
        </w:rPr>
        <w:t>xx</w:t>
      </w:r>
      <w:proofErr w:type="spellEnd"/>
      <w:r w:rsidRPr="00DC4087">
        <w:rPr>
          <w:rFonts w:ascii="Times New Roman" w:hAnsi="Times New Roman" w:cs="Times New Roman"/>
          <w:sz w:val="24"/>
          <w:szCs w:val="24"/>
        </w:rPr>
        <w:t>) refiere.</w:t>
      </w:r>
    </w:p>
    <w:p w14:paraId="078B9484" w14:textId="77777777" w:rsidR="00DC4087" w:rsidRDefault="00DC4087">
      <w:pPr>
        <w:rPr>
          <w:sz w:val="20"/>
        </w:rPr>
      </w:pPr>
    </w:p>
    <w:sdt>
      <w:sdtPr>
        <w:rPr>
          <w:rFonts w:asciiTheme="minorHAnsi" w:eastAsiaTheme="minorHAnsi" w:hAnsiTheme="minorHAnsi" w:cstheme="minorBidi"/>
          <w:color w:val="auto"/>
          <w:sz w:val="22"/>
          <w:szCs w:val="22"/>
          <w:lang w:val="es-ES" w:eastAsia="en-US"/>
        </w:rPr>
        <w:id w:val="-930745103"/>
        <w:docPartObj>
          <w:docPartGallery w:val="Bibliographies"/>
          <w:docPartUnique/>
        </w:docPartObj>
      </w:sdtPr>
      <w:sdtEndPr>
        <w:rPr>
          <w:lang w:val="es-CO"/>
        </w:rPr>
      </w:sdtEndPr>
      <w:sdtContent>
        <w:p w14:paraId="10CD47F9" w14:textId="77777777" w:rsidR="00DC4087" w:rsidRDefault="00DC4087">
          <w:pPr>
            <w:pStyle w:val="Ttulo1"/>
          </w:pPr>
          <w:r>
            <w:rPr>
              <w:lang w:val="es-ES"/>
            </w:rPr>
            <w:t>Bibliografía</w:t>
          </w:r>
        </w:p>
        <w:sdt>
          <w:sdtPr>
            <w:id w:val="111145805"/>
            <w:bibliography/>
          </w:sdtPr>
          <w:sdtEndPr/>
          <w:sdtContent>
            <w:p w14:paraId="2E4EE1E4" w14:textId="77777777" w:rsidR="00DC4087" w:rsidRDefault="00DC4087" w:rsidP="00DC4087">
              <w:pPr>
                <w:pStyle w:val="Bibliografa"/>
                <w:ind w:left="720" w:hanging="720"/>
                <w:rPr>
                  <w:noProof/>
                  <w:sz w:val="24"/>
                  <w:szCs w:val="24"/>
                  <w:lang w:val="es-ES"/>
                </w:rPr>
              </w:pPr>
              <w:r>
                <w:fldChar w:fldCharType="begin"/>
              </w:r>
              <w:r>
                <w:instrText>BIBLIOGRAPHY</w:instrText>
              </w:r>
              <w:r>
                <w:fldChar w:fldCharType="separate"/>
              </w:r>
              <w:r>
                <w:rPr>
                  <w:noProof/>
                  <w:lang w:val="es-ES"/>
                </w:rPr>
                <w:t>Aduvire, Lourdes.Guisela &amp; Magaly;. (2023). El rol del juego en la enseñanza de las matemáticasFrancie WendyAduvire Condori1fr.aduvirec@gmail.comhttps://orcid.org/0009-0004-0031-5480Escuela de Educación Superior Pedagógica Pública Emilia Barcia BoniffattiLourdes ElizabethAvalos Salcedolourdesavalos.</w:t>
              </w:r>
            </w:p>
            <w:p w14:paraId="233CB7C7" w14:textId="77777777" w:rsidR="00DC4087" w:rsidRDefault="00DC4087" w:rsidP="00DC4087">
              <w:r>
                <w:rPr>
                  <w:b/>
                  <w:bCs/>
                </w:rPr>
                <w:fldChar w:fldCharType="end"/>
              </w:r>
            </w:p>
          </w:sdtContent>
        </w:sdt>
      </w:sdtContent>
    </w:sdt>
    <w:p w14:paraId="6B631FDD" w14:textId="0EC429E1" w:rsidR="00605F76" w:rsidRDefault="00B01185">
      <w:pPr>
        <w:rPr>
          <w:rFonts w:ascii="Times New Roman" w:hAnsi="Times New Roman" w:cs="Times New Roman"/>
          <w:b/>
          <w:sz w:val="24"/>
          <w:szCs w:val="24"/>
        </w:rPr>
      </w:pPr>
      <w:r>
        <w:rPr>
          <w:rFonts w:ascii="Times New Roman" w:hAnsi="Times New Roman" w:cs="Times New Roman"/>
          <w:b/>
          <w:sz w:val="24"/>
          <w:szCs w:val="24"/>
        </w:rPr>
        <w:t xml:space="preserve"> </w:t>
      </w:r>
    </w:p>
    <w:p w14:paraId="54CA4191" w14:textId="77777777" w:rsidR="00605F76" w:rsidRPr="00922D68" w:rsidRDefault="00605F76">
      <w:pPr>
        <w:rPr>
          <w:rFonts w:ascii="Times New Roman" w:hAnsi="Times New Roman" w:cs="Times New Roman"/>
          <w:sz w:val="24"/>
          <w:szCs w:val="24"/>
        </w:rPr>
      </w:pPr>
      <w:r w:rsidRPr="00922D68">
        <w:rPr>
          <w:rFonts w:ascii="Times New Roman" w:hAnsi="Times New Roman" w:cs="Times New Roman"/>
          <w:b/>
          <w:sz w:val="24"/>
          <w:szCs w:val="24"/>
        </w:rPr>
        <w:t>Según</w:t>
      </w:r>
      <w:r w:rsidRPr="00922D68">
        <w:rPr>
          <w:rFonts w:ascii="Times New Roman" w:hAnsi="Times New Roman" w:cs="Times New Roman"/>
          <w:sz w:val="24"/>
          <w:szCs w:val="24"/>
        </w:rPr>
        <w:t xml:space="preserve"> </w:t>
      </w:r>
      <w:sdt>
        <w:sdtPr>
          <w:rPr>
            <w:rFonts w:ascii="Times New Roman" w:hAnsi="Times New Roman" w:cs="Times New Roman"/>
            <w:sz w:val="24"/>
            <w:szCs w:val="24"/>
          </w:rPr>
          <w:id w:val="-653062627"/>
          <w:citation/>
        </w:sdtPr>
        <w:sdtEndPr/>
        <w:sdtContent>
          <w:r w:rsidRPr="00922D68">
            <w:rPr>
              <w:rFonts w:ascii="Times New Roman" w:hAnsi="Times New Roman" w:cs="Times New Roman"/>
              <w:sz w:val="24"/>
              <w:szCs w:val="24"/>
            </w:rPr>
            <w:fldChar w:fldCharType="begin"/>
          </w:r>
          <w:r w:rsidRPr="00922D68">
            <w:rPr>
              <w:rFonts w:ascii="Times New Roman" w:hAnsi="Times New Roman" w:cs="Times New Roman"/>
              <w:sz w:val="24"/>
              <w:szCs w:val="24"/>
            </w:rPr>
            <w:instrText xml:space="preserve"> CITATION Góm10 \l 9226 </w:instrText>
          </w:r>
          <w:r w:rsidRPr="00922D68">
            <w:rPr>
              <w:rFonts w:ascii="Times New Roman" w:hAnsi="Times New Roman" w:cs="Times New Roman"/>
              <w:sz w:val="24"/>
              <w:szCs w:val="24"/>
            </w:rPr>
            <w:fldChar w:fldCharType="separate"/>
          </w:r>
          <w:r w:rsidRPr="00922D68">
            <w:rPr>
              <w:rFonts w:ascii="Times New Roman" w:hAnsi="Times New Roman" w:cs="Times New Roman"/>
              <w:noProof/>
              <w:sz w:val="24"/>
              <w:szCs w:val="24"/>
            </w:rPr>
            <w:t>(Gómez,Orrego, 2010)</w:t>
          </w:r>
          <w:r w:rsidRPr="00922D68">
            <w:rPr>
              <w:rFonts w:ascii="Times New Roman" w:hAnsi="Times New Roman" w:cs="Times New Roman"/>
              <w:sz w:val="24"/>
              <w:szCs w:val="24"/>
            </w:rPr>
            <w:fldChar w:fldCharType="end"/>
          </w:r>
        </w:sdtContent>
      </w:sdt>
      <w:r w:rsidRPr="00922D68">
        <w:rPr>
          <w:rFonts w:ascii="Times New Roman" w:hAnsi="Times New Roman" w:cs="Times New Roman"/>
          <w:sz w:val="24"/>
          <w:szCs w:val="24"/>
        </w:rPr>
        <w:t xml:space="preserve"> se piensa estructurar una empresa en el sector del barrio la brisas en Pereira tomando como base para la realización del proyecto las actividades que desarrollan especialmente su producción artesanal distinguida por características particulares y llamativos diseños los cuales fueron la fuente fundamental para determinar si se podrían comercializar estos artículos al mercado internacional</w:t>
      </w:r>
    </w:p>
    <w:p w14:paraId="6E42413F" w14:textId="77777777" w:rsidR="00605F76" w:rsidRPr="00922D68" w:rsidRDefault="00605F76" w:rsidP="00605F76">
      <w:pPr>
        <w:rPr>
          <w:rFonts w:ascii="Times New Roman" w:hAnsi="Times New Roman" w:cs="Times New Roman"/>
          <w:sz w:val="24"/>
          <w:szCs w:val="24"/>
        </w:rPr>
      </w:pPr>
      <w:r w:rsidRPr="00922D68">
        <w:rPr>
          <w:rFonts w:ascii="Times New Roman" w:hAnsi="Times New Roman" w:cs="Times New Roman"/>
          <w:sz w:val="24"/>
          <w:szCs w:val="24"/>
        </w:rPr>
        <w:t xml:space="preserve">Link </w:t>
      </w:r>
      <w:hyperlink r:id="rId5" w:history="1">
        <w:r w:rsidRPr="00922D68">
          <w:rPr>
            <w:rStyle w:val="Hipervnculo"/>
            <w:rFonts w:ascii="Times New Roman" w:hAnsi="Times New Roman" w:cs="Times New Roman"/>
            <w:sz w:val="24"/>
            <w:szCs w:val="24"/>
          </w:rPr>
          <w:t>https://repositorio.utp.edu.co/items/dc01f043-2048-4e36-bc81-24ed53bd107b</w:t>
        </w:r>
      </w:hyperlink>
    </w:p>
    <w:p w14:paraId="7ECE0B77" w14:textId="5761C381" w:rsidR="00605F76" w:rsidRPr="00922D68" w:rsidRDefault="00605F76" w:rsidP="00605F76">
      <w:pPr>
        <w:rPr>
          <w:rFonts w:ascii="Times New Roman" w:hAnsi="Times New Roman" w:cs="Times New Roman"/>
          <w:color w:val="333333"/>
          <w:sz w:val="24"/>
          <w:szCs w:val="24"/>
          <w:shd w:val="clear" w:color="auto" w:fill="FFFFFF"/>
        </w:rPr>
      </w:pPr>
      <w:r w:rsidRPr="00922D68">
        <w:rPr>
          <w:rFonts w:ascii="Times New Roman" w:hAnsi="Times New Roman" w:cs="Times New Roman"/>
          <w:b/>
          <w:sz w:val="24"/>
          <w:szCs w:val="24"/>
        </w:rPr>
        <w:t>Según</w:t>
      </w:r>
      <w:r w:rsidRPr="00922D68">
        <w:rPr>
          <w:rFonts w:ascii="Times New Roman" w:hAnsi="Times New Roman" w:cs="Times New Roman"/>
          <w:sz w:val="24"/>
          <w:szCs w:val="24"/>
        </w:rPr>
        <w:t xml:space="preserve"> </w:t>
      </w:r>
      <w:sdt>
        <w:sdtPr>
          <w:rPr>
            <w:rFonts w:ascii="Times New Roman" w:hAnsi="Times New Roman" w:cs="Times New Roman"/>
            <w:sz w:val="24"/>
            <w:szCs w:val="24"/>
          </w:rPr>
          <w:id w:val="330875306"/>
          <w:citation/>
        </w:sdtPr>
        <w:sdtEndPr/>
        <w:sdtContent>
          <w:r w:rsidRPr="00922D68">
            <w:rPr>
              <w:rFonts w:ascii="Times New Roman" w:hAnsi="Times New Roman" w:cs="Times New Roman"/>
              <w:sz w:val="24"/>
              <w:szCs w:val="24"/>
            </w:rPr>
            <w:fldChar w:fldCharType="begin"/>
          </w:r>
          <w:r w:rsidRPr="00922D68">
            <w:rPr>
              <w:rFonts w:ascii="Times New Roman" w:hAnsi="Times New Roman" w:cs="Times New Roman"/>
              <w:sz w:val="24"/>
              <w:szCs w:val="24"/>
            </w:rPr>
            <w:instrText xml:space="preserve">CITATION MarcadorDePosición1 \l 9226 </w:instrText>
          </w:r>
          <w:r w:rsidRPr="00922D68">
            <w:rPr>
              <w:rFonts w:ascii="Times New Roman" w:hAnsi="Times New Roman" w:cs="Times New Roman"/>
              <w:sz w:val="24"/>
              <w:szCs w:val="24"/>
            </w:rPr>
            <w:fldChar w:fldCharType="separate"/>
          </w:r>
          <w:r w:rsidRPr="00922D68">
            <w:rPr>
              <w:rFonts w:ascii="Times New Roman" w:hAnsi="Times New Roman" w:cs="Times New Roman"/>
              <w:noProof/>
              <w:sz w:val="24"/>
              <w:szCs w:val="24"/>
            </w:rPr>
            <w:t>(Escobar, Sandra, 2015)</w:t>
          </w:r>
          <w:r w:rsidRPr="00922D68">
            <w:rPr>
              <w:rFonts w:ascii="Times New Roman" w:hAnsi="Times New Roman" w:cs="Times New Roman"/>
              <w:sz w:val="24"/>
              <w:szCs w:val="24"/>
            </w:rPr>
            <w:fldChar w:fldCharType="end"/>
          </w:r>
        </w:sdtContent>
      </w:sdt>
      <w:r w:rsidRPr="00922D68">
        <w:rPr>
          <w:rFonts w:ascii="Times New Roman" w:hAnsi="Times New Roman" w:cs="Times New Roman"/>
          <w:sz w:val="24"/>
          <w:szCs w:val="24"/>
        </w:rPr>
        <w:t xml:space="preserve"> una alternativa para lograr el manejo sostenible, equitativo y participativo de los bosques por parte de las comunidades locales en </w:t>
      </w:r>
      <w:r w:rsidR="00922D68" w:rsidRPr="00922D68">
        <w:rPr>
          <w:rFonts w:ascii="Times New Roman" w:hAnsi="Times New Roman" w:cs="Times New Roman"/>
          <w:sz w:val="24"/>
          <w:szCs w:val="24"/>
        </w:rPr>
        <w:t>Panamá como</w:t>
      </w:r>
      <w:r w:rsidR="00CE3892" w:rsidRPr="00922D68">
        <w:rPr>
          <w:rFonts w:ascii="Times New Roman" w:hAnsi="Times New Roman" w:cs="Times New Roman"/>
          <w:sz w:val="24"/>
          <w:szCs w:val="24"/>
        </w:rPr>
        <w:t xml:space="preserve"> también la identificación de los recursos o capitales con los que cuentan las comunidades, y los medios de vida de estas y posteriormente un análisis de los aportes del manejo forestal comunitario tal y como se está implementando hace a cada uno de los capitales.</w:t>
      </w:r>
    </w:p>
    <w:p w14:paraId="419ABE8E" w14:textId="77777777" w:rsidR="00CE3892" w:rsidRPr="00922D68" w:rsidRDefault="00CE3892" w:rsidP="00605F76">
      <w:pPr>
        <w:rPr>
          <w:rFonts w:ascii="Times New Roman" w:hAnsi="Times New Roman" w:cs="Times New Roman"/>
          <w:sz w:val="24"/>
          <w:szCs w:val="24"/>
        </w:rPr>
      </w:pPr>
      <w:r w:rsidRPr="00922D68">
        <w:rPr>
          <w:rFonts w:ascii="Times New Roman" w:hAnsi="Times New Roman" w:cs="Times New Roman"/>
          <w:sz w:val="24"/>
          <w:szCs w:val="24"/>
        </w:rPr>
        <w:t xml:space="preserve">Link </w:t>
      </w:r>
      <w:hyperlink r:id="rId6" w:history="1">
        <w:r w:rsidRPr="00922D68">
          <w:rPr>
            <w:rStyle w:val="Hipervnculo"/>
            <w:rFonts w:ascii="Times New Roman" w:hAnsi="Times New Roman" w:cs="Times New Roman"/>
            <w:sz w:val="24"/>
            <w:szCs w:val="24"/>
          </w:rPr>
          <w:t>https://repositorio.catie.ac.cr/handle/11554/7084</w:t>
        </w:r>
      </w:hyperlink>
    </w:p>
    <w:p w14:paraId="688D1DD5" w14:textId="77777777" w:rsidR="00CE3892" w:rsidRPr="00922D68" w:rsidRDefault="00CE3892" w:rsidP="00605F76">
      <w:pPr>
        <w:rPr>
          <w:rFonts w:ascii="Times New Roman" w:hAnsi="Times New Roman" w:cs="Times New Roman"/>
          <w:sz w:val="24"/>
          <w:szCs w:val="24"/>
        </w:rPr>
      </w:pPr>
    </w:p>
    <w:p w14:paraId="08BE62D4" w14:textId="77777777" w:rsidR="00CE3892" w:rsidRPr="00922D68" w:rsidRDefault="00CE3892" w:rsidP="00605F76">
      <w:pPr>
        <w:rPr>
          <w:rFonts w:ascii="Times New Roman" w:hAnsi="Times New Roman" w:cs="Times New Roman"/>
          <w:sz w:val="24"/>
          <w:szCs w:val="24"/>
        </w:rPr>
      </w:pPr>
    </w:p>
    <w:p w14:paraId="0AE20874" w14:textId="77777777" w:rsidR="00CE3892" w:rsidRPr="00922D68" w:rsidRDefault="00CE3892" w:rsidP="00605F76">
      <w:pPr>
        <w:rPr>
          <w:rFonts w:ascii="Times New Roman" w:hAnsi="Times New Roman" w:cs="Times New Roman"/>
          <w:color w:val="000000"/>
          <w:sz w:val="24"/>
          <w:szCs w:val="24"/>
          <w:shd w:val="clear" w:color="auto" w:fill="FFFFFF"/>
        </w:rPr>
      </w:pPr>
      <w:r w:rsidRPr="00922D68">
        <w:rPr>
          <w:rFonts w:ascii="Times New Roman" w:hAnsi="Times New Roman" w:cs="Times New Roman"/>
          <w:b/>
          <w:bCs/>
          <w:sz w:val="24"/>
          <w:szCs w:val="24"/>
        </w:rPr>
        <w:t>Según</w:t>
      </w:r>
      <w:r w:rsidRPr="00922D68">
        <w:rPr>
          <w:rFonts w:ascii="Times New Roman" w:hAnsi="Times New Roman" w:cs="Times New Roman"/>
          <w:sz w:val="24"/>
          <w:szCs w:val="24"/>
        </w:rPr>
        <w:t xml:space="preserve"> </w:t>
      </w:r>
      <w:sdt>
        <w:sdtPr>
          <w:rPr>
            <w:rFonts w:ascii="Times New Roman" w:hAnsi="Times New Roman" w:cs="Times New Roman"/>
            <w:sz w:val="24"/>
            <w:szCs w:val="24"/>
          </w:rPr>
          <w:id w:val="1730724158"/>
          <w:citation/>
        </w:sdtPr>
        <w:sdtEndPr/>
        <w:sdtContent>
          <w:r w:rsidRPr="00922D68">
            <w:rPr>
              <w:rFonts w:ascii="Times New Roman" w:hAnsi="Times New Roman" w:cs="Times New Roman"/>
              <w:sz w:val="24"/>
              <w:szCs w:val="24"/>
            </w:rPr>
            <w:fldChar w:fldCharType="begin"/>
          </w:r>
          <w:r w:rsidRPr="00922D68">
            <w:rPr>
              <w:rFonts w:ascii="Times New Roman" w:hAnsi="Times New Roman" w:cs="Times New Roman"/>
              <w:sz w:val="24"/>
              <w:szCs w:val="24"/>
            </w:rPr>
            <w:instrText xml:space="preserve"> CITATION Góm23 \l 9226 </w:instrText>
          </w:r>
          <w:r w:rsidRPr="00922D68">
            <w:rPr>
              <w:rFonts w:ascii="Times New Roman" w:hAnsi="Times New Roman" w:cs="Times New Roman"/>
              <w:sz w:val="24"/>
              <w:szCs w:val="24"/>
            </w:rPr>
            <w:fldChar w:fldCharType="separate"/>
          </w:r>
          <w:r w:rsidRPr="00922D68">
            <w:rPr>
              <w:rFonts w:ascii="Times New Roman" w:hAnsi="Times New Roman" w:cs="Times New Roman"/>
              <w:noProof/>
              <w:sz w:val="24"/>
              <w:szCs w:val="24"/>
            </w:rPr>
            <w:t>(Gómez,Santacruz, 2023)</w:t>
          </w:r>
          <w:r w:rsidRPr="00922D68">
            <w:rPr>
              <w:rFonts w:ascii="Times New Roman" w:hAnsi="Times New Roman" w:cs="Times New Roman"/>
              <w:sz w:val="24"/>
              <w:szCs w:val="24"/>
            </w:rPr>
            <w:fldChar w:fldCharType="end"/>
          </w:r>
        </w:sdtContent>
      </w:sdt>
      <w:r w:rsidRPr="00922D68">
        <w:rPr>
          <w:rFonts w:ascii="Times New Roman" w:hAnsi="Times New Roman" w:cs="Times New Roman"/>
          <w:sz w:val="24"/>
          <w:szCs w:val="24"/>
        </w:rPr>
        <w:t xml:space="preserve"> </w:t>
      </w:r>
      <w:r w:rsidRPr="00922D68">
        <w:rPr>
          <w:rFonts w:ascii="Times New Roman" w:hAnsi="Times New Roman" w:cs="Times New Roman"/>
          <w:color w:val="000000"/>
          <w:sz w:val="24"/>
          <w:szCs w:val="24"/>
          <w:shd w:val="clear" w:color="auto" w:fill="FFFFFF"/>
        </w:rPr>
        <w:t xml:space="preserve">analiza la construcción del movimiento social </w:t>
      </w:r>
      <w:proofErr w:type="spellStart"/>
      <w:r w:rsidRPr="00922D68">
        <w:rPr>
          <w:rFonts w:ascii="Times New Roman" w:hAnsi="Times New Roman" w:cs="Times New Roman"/>
          <w:color w:val="000000"/>
          <w:sz w:val="24"/>
          <w:szCs w:val="24"/>
          <w:shd w:val="clear" w:color="auto" w:fill="FFFFFF"/>
        </w:rPr>
        <w:t>embera-katío</w:t>
      </w:r>
      <w:proofErr w:type="spellEnd"/>
      <w:r w:rsidRPr="00922D68">
        <w:rPr>
          <w:rFonts w:ascii="Times New Roman" w:hAnsi="Times New Roman" w:cs="Times New Roman"/>
          <w:color w:val="000000"/>
          <w:sz w:val="24"/>
          <w:szCs w:val="24"/>
          <w:shd w:val="clear" w:color="auto" w:fill="FFFFFF"/>
        </w:rPr>
        <w:t xml:space="preserve">, en función de las afectaciones causadas por el proyecto hidroeléctrico </w:t>
      </w:r>
      <w:proofErr w:type="spellStart"/>
      <w:r w:rsidRPr="00922D68">
        <w:rPr>
          <w:rFonts w:ascii="Times New Roman" w:hAnsi="Times New Roman" w:cs="Times New Roman"/>
          <w:color w:val="000000"/>
          <w:sz w:val="24"/>
          <w:szCs w:val="24"/>
          <w:shd w:val="clear" w:color="auto" w:fill="FFFFFF"/>
        </w:rPr>
        <w:t>Urrá</w:t>
      </w:r>
      <w:proofErr w:type="spellEnd"/>
      <w:r w:rsidRPr="00922D68">
        <w:rPr>
          <w:rFonts w:ascii="Times New Roman" w:hAnsi="Times New Roman" w:cs="Times New Roman"/>
          <w:color w:val="000000"/>
          <w:sz w:val="24"/>
          <w:szCs w:val="24"/>
          <w:shd w:val="clear" w:color="auto" w:fill="FFFFFF"/>
        </w:rPr>
        <w:t xml:space="preserve"> en Colombia y de la defensa del territorio</w:t>
      </w:r>
    </w:p>
    <w:p w14:paraId="1C6B0EC7" w14:textId="77777777" w:rsidR="00CE3892" w:rsidRPr="00922D68" w:rsidRDefault="00CE3892" w:rsidP="00605F76">
      <w:pPr>
        <w:rPr>
          <w:rFonts w:ascii="Times New Roman" w:hAnsi="Times New Roman" w:cs="Times New Roman"/>
          <w:sz w:val="24"/>
          <w:szCs w:val="24"/>
        </w:rPr>
      </w:pPr>
      <w:r w:rsidRPr="00922D68">
        <w:rPr>
          <w:rFonts w:ascii="Times New Roman" w:hAnsi="Times New Roman" w:cs="Times New Roman"/>
          <w:sz w:val="24"/>
          <w:szCs w:val="24"/>
        </w:rPr>
        <w:t xml:space="preserve">Link </w:t>
      </w:r>
      <w:hyperlink r:id="rId7" w:history="1">
        <w:r w:rsidRPr="00922D68">
          <w:rPr>
            <w:rStyle w:val="Hipervnculo"/>
            <w:rFonts w:ascii="Times New Roman" w:hAnsi="Times New Roman" w:cs="Times New Roman"/>
            <w:sz w:val="24"/>
            <w:szCs w:val="24"/>
          </w:rPr>
          <w:t>https://www.scielo.org.mx/scielo.php?pid=S1665-80272023000100112&amp;script=sci_arttext</w:t>
        </w:r>
      </w:hyperlink>
      <w:r w:rsidRPr="00922D68">
        <w:rPr>
          <w:rFonts w:ascii="Times New Roman" w:hAnsi="Times New Roman" w:cs="Times New Roman"/>
          <w:sz w:val="24"/>
          <w:szCs w:val="24"/>
        </w:rPr>
        <w:t xml:space="preserve"> </w:t>
      </w:r>
    </w:p>
    <w:p w14:paraId="5222AA74" w14:textId="77777777" w:rsidR="00DC4087" w:rsidRPr="00922D68" w:rsidRDefault="00DC4087">
      <w:pPr>
        <w:rPr>
          <w:rFonts w:ascii="Times New Roman" w:hAnsi="Times New Roman" w:cs="Times New Roman"/>
          <w:sz w:val="24"/>
          <w:szCs w:val="24"/>
        </w:rPr>
      </w:pPr>
    </w:p>
    <w:p w14:paraId="6808F2FD" w14:textId="62E13478" w:rsidR="009C521A" w:rsidRPr="00922D68" w:rsidRDefault="009C521A">
      <w:pPr>
        <w:rPr>
          <w:rFonts w:ascii="Times New Roman" w:hAnsi="Times New Roman" w:cs="Times New Roman"/>
          <w:sz w:val="24"/>
          <w:szCs w:val="24"/>
        </w:rPr>
      </w:pPr>
      <w:r w:rsidRPr="00922D68">
        <w:rPr>
          <w:rFonts w:ascii="Times New Roman" w:hAnsi="Times New Roman" w:cs="Times New Roman"/>
          <w:b/>
          <w:bCs/>
          <w:sz w:val="24"/>
          <w:szCs w:val="24"/>
        </w:rPr>
        <w:t>Según</w:t>
      </w:r>
      <w:r w:rsidRPr="00922D68">
        <w:rPr>
          <w:rFonts w:ascii="Times New Roman" w:hAnsi="Times New Roman" w:cs="Times New Roman"/>
          <w:sz w:val="24"/>
          <w:szCs w:val="24"/>
        </w:rPr>
        <w:t xml:space="preserve"> </w:t>
      </w:r>
      <w:sdt>
        <w:sdtPr>
          <w:rPr>
            <w:rFonts w:ascii="Times New Roman" w:hAnsi="Times New Roman" w:cs="Times New Roman"/>
            <w:sz w:val="24"/>
            <w:szCs w:val="24"/>
          </w:rPr>
          <w:id w:val="-1520464342"/>
          <w:citation/>
        </w:sdtPr>
        <w:sdtContent>
          <w:r w:rsidRPr="00922D68">
            <w:rPr>
              <w:rFonts w:ascii="Times New Roman" w:hAnsi="Times New Roman" w:cs="Times New Roman"/>
              <w:sz w:val="24"/>
              <w:szCs w:val="24"/>
            </w:rPr>
            <w:fldChar w:fldCharType="begin"/>
          </w:r>
          <w:r w:rsidR="00B01185" w:rsidRPr="00922D68">
            <w:rPr>
              <w:rFonts w:ascii="Times New Roman" w:hAnsi="Times New Roman" w:cs="Times New Roman"/>
              <w:sz w:val="24"/>
              <w:szCs w:val="24"/>
            </w:rPr>
            <w:instrText xml:space="preserve">CITATION Cru21 \l 9226 </w:instrText>
          </w:r>
          <w:r w:rsidRPr="00922D68">
            <w:rPr>
              <w:rFonts w:ascii="Times New Roman" w:hAnsi="Times New Roman" w:cs="Times New Roman"/>
              <w:sz w:val="24"/>
              <w:szCs w:val="24"/>
            </w:rPr>
            <w:fldChar w:fldCharType="separate"/>
          </w:r>
          <w:r w:rsidR="00B01185" w:rsidRPr="00922D68">
            <w:rPr>
              <w:rFonts w:ascii="Times New Roman" w:hAnsi="Times New Roman" w:cs="Times New Roman"/>
              <w:noProof/>
              <w:sz w:val="24"/>
              <w:szCs w:val="24"/>
            </w:rPr>
            <w:t>(Velásquez, 2021)</w:t>
          </w:r>
          <w:r w:rsidRPr="00922D68">
            <w:rPr>
              <w:rFonts w:ascii="Times New Roman" w:hAnsi="Times New Roman" w:cs="Times New Roman"/>
              <w:sz w:val="24"/>
              <w:szCs w:val="24"/>
            </w:rPr>
            <w:fldChar w:fldCharType="end"/>
          </w:r>
        </w:sdtContent>
      </w:sdt>
      <w:r w:rsidRPr="00922D68">
        <w:rPr>
          <w:rFonts w:ascii="Times New Roman" w:hAnsi="Times New Roman" w:cs="Times New Roman"/>
          <w:sz w:val="24"/>
          <w:szCs w:val="24"/>
        </w:rPr>
        <w:t xml:space="preserve"> </w:t>
      </w:r>
      <w:r w:rsidRPr="00922D68">
        <w:rPr>
          <w:rFonts w:ascii="Times New Roman" w:hAnsi="Times New Roman" w:cs="Times New Roman"/>
          <w:sz w:val="24"/>
          <w:szCs w:val="24"/>
        </w:rPr>
        <w:t xml:space="preserve"> </w:t>
      </w:r>
      <w:r w:rsidRPr="00922D68">
        <w:rPr>
          <w:rFonts w:ascii="Times New Roman" w:hAnsi="Times New Roman" w:cs="Times New Roman"/>
          <w:sz w:val="24"/>
          <w:szCs w:val="24"/>
        </w:rPr>
        <w:t xml:space="preserve"> el documento se </w:t>
      </w:r>
      <w:r w:rsidR="00B01185" w:rsidRPr="00922D68">
        <w:rPr>
          <w:rFonts w:ascii="Times New Roman" w:hAnsi="Times New Roman" w:cs="Times New Roman"/>
          <w:sz w:val="24"/>
          <w:szCs w:val="24"/>
        </w:rPr>
        <w:t>planteó que</w:t>
      </w:r>
      <w:r w:rsidRPr="00922D68">
        <w:rPr>
          <w:rFonts w:ascii="Times New Roman" w:hAnsi="Times New Roman" w:cs="Times New Roman"/>
          <w:sz w:val="24"/>
          <w:szCs w:val="24"/>
        </w:rPr>
        <w:t xml:space="preserve"> </w:t>
      </w:r>
      <w:r w:rsidRPr="00922D68">
        <w:rPr>
          <w:rFonts w:ascii="Times New Roman" w:hAnsi="Times New Roman" w:cs="Times New Roman"/>
          <w:sz w:val="24"/>
          <w:szCs w:val="24"/>
        </w:rPr>
        <w:t xml:space="preserve">a partir de la </w:t>
      </w:r>
      <w:r w:rsidR="00922D68" w:rsidRPr="00922D68">
        <w:rPr>
          <w:rFonts w:ascii="Times New Roman" w:hAnsi="Times New Roman" w:cs="Times New Roman"/>
          <w:sz w:val="24"/>
          <w:szCs w:val="24"/>
        </w:rPr>
        <w:t>situación de</w:t>
      </w:r>
      <w:r w:rsidRPr="00922D68">
        <w:rPr>
          <w:rFonts w:ascii="Times New Roman" w:hAnsi="Times New Roman" w:cs="Times New Roman"/>
          <w:sz w:val="24"/>
          <w:szCs w:val="24"/>
        </w:rPr>
        <w:t xml:space="preserve"> la comunidad </w:t>
      </w:r>
      <w:r w:rsidR="00B01185" w:rsidRPr="00922D68">
        <w:rPr>
          <w:rFonts w:ascii="Times New Roman" w:hAnsi="Times New Roman" w:cs="Times New Roman"/>
          <w:sz w:val="24"/>
          <w:szCs w:val="24"/>
        </w:rPr>
        <w:t>Emberá</w:t>
      </w:r>
      <w:r w:rsidRPr="00922D68">
        <w:rPr>
          <w:rFonts w:ascii="Times New Roman" w:hAnsi="Times New Roman" w:cs="Times New Roman"/>
          <w:sz w:val="24"/>
          <w:szCs w:val="24"/>
        </w:rPr>
        <w:t xml:space="preserve"> en la ciudad de </w:t>
      </w:r>
      <w:r w:rsidR="00B01185" w:rsidRPr="00922D68">
        <w:rPr>
          <w:rFonts w:ascii="Times New Roman" w:hAnsi="Times New Roman" w:cs="Times New Roman"/>
          <w:sz w:val="24"/>
          <w:szCs w:val="24"/>
        </w:rPr>
        <w:t>Bogotá</w:t>
      </w:r>
      <w:r w:rsidRPr="00922D68">
        <w:rPr>
          <w:rFonts w:ascii="Times New Roman" w:hAnsi="Times New Roman" w:cs="Times New Roman"/>
          <w:sz w:val="24"/>
          <w:szCs w:val="24"/>
        </w:rPr>
        <w:t xml:space="preserve"> </w:t>
      </w:r>
      <w:r w:rsidR="00922D68" w:rsidRPr="00922D68">
        <w:rPr>
          <w:rFonts w:ascii="Times New Roman" w:hAnsi="Times New Roman" w:cs="Times New Roman"/>
          <w:sz w:val="24"/>
          <w:szCs w:val="24"/>
        </w:rPr>
        <w:t>que se</w:t>
      </w:r>
      <w:r w:rsidRPr="00922D68">
        <w:rPr>
          <w:rFonts w:ascii="Times New Roman" w:hAnsi="Times New Roman" w:cs="Times New Roman"/>
          <w:sz w:val="24"/>
          <w:szCs w:val="24"/>
        </w:rPr>
        <w:t xml:space="preserve"> encuentran viviendo en situación de</w:t>
      </w:r>
      <w:r w:rsidR="00B01185" w:rsidRPr="00922D68">
        <w:rPr>
          <w:rFonts w:ascii="Times New Roman" w:hAnsi="Times New Roman" w:cs="Times New Roman"/>
          <w:sz w:val="24"/>
          <w:szCs w:val="24"/>
        </w:rPr>
        <w:t xml:space="preserve"> </w:t>
      </w:r>
      <w:r w:rsidR="00B01185" w:rsidRPr="00922D68">
        <w:rPr>
          <w:rFonts w:ascii="Times New Roman" w:hAnsi="Times New Roman" w:cs="Times New Roman"/>
          <w:sz w:val="24"/>
          <w:szCs w:val="24"/>
        </w:rPr>
        <w:lastRenderedPageBreak/>
        <w:t xml:space="preserve">habitantes de calle en el </w:t>
      </w:r>
      <w:r w:rsidRPr="00922D68">
        <w:rPr>
          <w:rFonts w:ascii="Times New Roman" w:hAnsi="Times New Roman" w:cs="Times New Roman"/>
          <w:sz w:val="24"/>
          <w:szCs w:val="24"/>
        </w:rPr>
        <w:t xml:space="preserve"> </w:t>
      </w:r>
      <w:r w:rsidRPr="00922D68">
        <w:rPr>
          <w:rFonts w:ascii="Times New Roman" w:hAnsi="Times New Roman" w:cs="Times New Roman"/>
          <w:sz w:val="24"/>
          <w:szCs w:val="24"/>
        </w:rPr>
        <w:t xml:space="preserve">parque tercer milenio, </w:t>
      </w:r>
      <w:r w:rsidR="00B01185" w:rsidRPr="00922D68">
        <w:rPr>
          <w:rFonts w:ascii="Times New Roman" w:hAnsi="Times New Roman" w:cs="Times New Roman"/>
          <w:sz w:val="24"/>
          <w:szCs w:val="24"/>
        </w:rPr>
        <w:t xml:space="preserve">el proyecto se planteó un desarrollo para las </w:t>
      </w:r>
      <w:r w:rsidRPr="00922D68">
        <w:rPr>
          <w:rFonts w:ascii="Times New Roman" w:hAnsi="Times New Roman" w:cs="Times New Roman"/>
          <w:sz w:val="24"/>
          <w:szCs w:val="24"/>
        </w:rPr>
        <w:t>familias de dicha comunidad, mejorando así no solo su forma de empleo si no también aportando a la comunidad del barrio el Tintal</w:t>
      </w:r>
      <w:r w:rsidR="00B01185" w:rsidRPr="00922D68">
        <w:rPr>
          <w:rFonts w:ascii="Times New Roman" w:hAnsi="Times New Roman" w:cs="Times New Roman"/>
          <w:sz w:val="24"/>
          <w:szCs w:val="24"/>
        </w:rPr>
        <w:t xml:space="preserve">. </w:t>
      </w:r>
    </w:p>
    <w:p w14:paraId="610E94CA" w14:textId="77777777" w:rsidR="00B01185" w:rsidRDefault="00B01185">
      <w:pPr>
        <w:rPr>
          <w:rFonts w:ascii="Times New Roman" w:hAnsi="Times New Roman" w:cs="Times New Roman"/>
          <w:sz w:val="24"/>
          <w:szCs w:val="24"/>
        </w:rPr>
      </w:pPr>
    </w:p>
    <w:sdt>
      <w:sdtPr>
        <w:rPr>
          <w:lang w:val="es-ES"/>
        </w:rPr>
        <w:id w:val="2127882850"/>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14:paraId="51E444E5" w14:textId="3CAC7753" w:rsidR="00B01185" w:rsidRDefault="00B01185">
          <w:pPr>
            <w:pStyle w:val="Ttulo1"/>
          </w:pPr>
          <w:r>
            <w:rPr>
              <w:lang w:val="es-ES"/>
            </w:rPr>
            <w:t>Bibliografía</w:t>
          </w:r>
        </w:p>
        <w:sdt>
          <w:sdtPr>
            <w:id w:val="-1623057634"/>
            <w:bibliography/>
          </w:sdtPr>
          <w:sdtContent>
            <w:p w14:paraId="1A47DBAA" w14:textId="128B71D0" w:rsidR="00B01185" w:rsidRDefault="00B01185" w:rsidP="00B01185">
              <w:pPr>
                <w:pStyle w:val="Bibliografa"/>
                <w:ind w:left="720" w:hanging="720"/>
                <w:rPr>
                  <w:noProof/>
                  <w:sz w:val="24"/>
                  <w:szCs w:val="24"/>
                  <w:lang w:val="es-ES"/>
                </w:rPr>
              </w:pPr>
              <w:r>
                <w:fldChar w:fldCharType="begin"/>
              </w:r>
              <w:r>
                <w:instrText>BIBLIOGRAPHY</w:instrText>
              </w:r>
              <w:r>
                <w:fldChar w:fldCharType="separate"/>
              </w:r>
            </w:p>
            <w:p w14:paraId="51C2B963" w14:textId="77777777" w:rsidR="00B01185" w:rsidRDefault="00B01185" w:rsidP="00B01185">
              <w:pPr>
                <w:pStyle w:val="Bibliografa"/>
                <w:ind w:left="720" w:hanging="720"/>
                <w:rPr>
                  <w:noProof/>
                  <w:lang w:val="es-ES"/>
                </w:rPr>
              </w:pPr>
              <w:r>
                <w:rPr>
                  <w:noProof/>
                  <w:lang w:val="es-ES"/>
                </w:rPr>
                <w:t xml:space="preserve">Escobar, Sandra. (2015). </w:t>
              </w:r>
              <w:r>
                <w:rPr>
                  <w:i/>
                  <w:iCs/>
                  <w:noProof/>
                  <w:lang w:val="es-ES"/>
                </w:rPr>
                <w:t>Análisis de la contribución de la Empresa Forestal Comunitaria Tupiza en los medios y estrategias de vida de las comunidades Nuevo Belén y La Pulida de la Comarca Emberá Wounaan, Panamá.</w:t>
              </w:r>
              <w:r>
                <w:rPr>
                  <w:noProof/>
                  <w:lang w:val="es-ES"/>
                </w:rPr>
                <w:t xml:space="preserve"> </w:t>
              </w:r>
            </w:p>
            <w:p w14:paraId="364EE062" w14:textId="77777777" w:rsidR="00B01185" w:rsidRDefault="00B01185" w:rsidP="00B01185">
              <w:pPr>
                <w:pStyle w:val="Bibliografa"/>
                <w:ind w:left="720" w:hanging="720"/>
                <w:rPr>
                  <w:noProof/>
                  <w:lang w:val="es-ES"/>
                </w:rPr>
              </w:pPr>
              <w:r>
                <w:rPr>
                  <w:noProof/>
                  <w:lang w:val="es-ES"/>
                </w:rPr>
                <w:t xml:space="preserve">Gómez,Orrego. (2010). </w:t>
              </w:r>
              <w:r>
                <w:rPr>
                  <w:i/>
                  <w:iCs/>
                  <w:noProof/>
                  <w:lang w:val="es-ES"/>
                </w:rPr>
                <w:t>Proyecto de creación de empresa para la comercialización internacional de artesanías de la comunidad indígena Embera Chamí.</w:t>
              </w:r>
              <w:r>
                <w:rPr>
                  <w:noProof/>
                  <w:lang w:val="es-ES"/>
                </w:rPr>
                <w:t xml:space="preserve"> </w:t>
              </w:r>
            </w:p>
            <w:p w14:paraId="0B02EC24" w14:textId="77777777" w:rsidR="00B01185" w:rsidRDefault="00B01185" w:rsidP="00B01185">
              <w:pPr>
                <w:pStyle w:val="Bibliografa"/>
                <w:ind w:left="720" w:hanging="720"/>
                <w:rPr>
                  <w:noProof/>
                  <w:lang w:val="es-ES"/>
                </w:rPr>
              </w:pPr>
              <w:r>
                <w:rPr>
                  <w:noProof/>
                  <w:lang w:val="es-ES"/>
                </w:rPr>
                <w:t>Gómez,Santacruz. (2023). El movimiento social embera-katío como resistencia frente a proyectos hidroenergéticos en Colombia.</w:t>
              </w:r>
            </w:p>
            <w:p w14:paraId="0A29E112" w14:textId="77777777" w:rsidR="00B01185" w:rsidRDefault="00B01185" w:rsidP="00B01185">
              <w:pPr>
                <w:pStyle w:val="Bibliografa"/>
                <w:ind w:left="720" w:hanging="720"/>
                <w:rPr>
                  <w:noProof/>
                  <w:lang w:val="es-ES"/>
                </w:rPr>
              </w:pPr>
              <w:r>
                <w:rPr>
                  <w:noProof/>
                  <w:lang w:val="es-ES"/>
                </w:rPr>
                <w:t xml:space="preserve">Velásquez, C. (2021). </w:t>
              </w:r>
              <w:r>
                <w:rPr>
                  <w:i/>
                  <w:iCs/>
                  <w:noProof/>
                  <w:lang w:val="es-ES"/>
                </w:rPr>
                <w:t>Proyecto habitacional y productivo para la recuperación de la dignidad cultural de la comunidad indígena Emberá en Bogotá.</w:t>
              </w:r>
              <w:r>
                <w:rPr>
                  <w:noProof/>
                  <w:lang w:val="es-ES"/>
                </w:rPr>
                <w:t xml:space="preserve"> Bogotá: Fundación Universidad de América.</w:t>
              </w:r>
            </w:p>
            <w:p w14:paraId="3D33ECAB" w14:textId="36DFA43D" w:rsidR="00B01185" w:rsidRDefault="00B01185" w:rsidP="00B01185">
              <w:r>
                <w:rPr>
                  <w:b/>
                  <w:bCs/>
                </w:rPr>
                <w:fldChar w:fldCharType="end"/>
              </w:r>
            </w:p>
          </w:sdtContent>
        </w:sdt>
      </w:sdtContent>
    </w:sdt>
    <w:p w14:paraId="2F7E84CB" w14:textId="77777777" w:rsidR="00B01185" w:rsidRPr="00605F76" w:rsidRDefault="00B01185">
      <w:pPr>
        <w:rPr>
          <w:rFonts w:ascii="Times New Roman" w:hAnsi="Times New Roman" w:cs="Times New Roman"/>
          <w:sz w:val="24"/>
          <w:szCs w:val="24"/>
        </w:rPr>
      </w:pPr>
    </w:p>
    <w:sectPr w:rsidR="00B01185" w:rsidRPr="00605F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87"/>
    <w:rsid w:val="00374E21"/>
    <w:rsid w:val="005F6389"/>
    <w:rsid w:val="00605F76"/>
    <w:rsid w:val="00922D68"/>
    <w:rsid w:val="009C521A"/>
    <w:rsid w:val="00B01185"/>
    <w:rsid w:val="00CE3892"/>
    <w:rsid w:val="00DC4087"/>
    <w:rsid w:val="00FD4C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9631"/>
  <w15:chartTrackingRefBased/>
  <w15:docId w15:val="{5E1AA996-4988-44B3-A90D-FEF73693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4087"/>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087"/>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DC4087"/>
  </w:style>
  <w:style w:type="character" w:styleId="Hipervnculo">
    <w:name w:val="Hyperlink"/>
    <w:basedOn w:val="Fuentedeprrafopredeter"/>
    <w:uiPriority w:val="99"/>
    <w:unhideWhenUsed/>
    <w:rsid w:val="00605F76"/>
    <w:rPr>
      <w:color w:val="0563C1" w:themeColor="hyperlink"/>
      <w:u w:val="single"/>
    </w:rPr>
  </w:style>
  <w:style w:type="character" w:styleId="Mencinsinresolver">
    <w:name w:val="Unresolved Mention"/>
    <w:basedOn w:val="Fuentedeprrafopredeter"/>
    <w:uiPriority w:val="99"/>
    <w:semiHidden/>
    <w:unhideWhenUsed/>
    <w:rsid w:val="00605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697">
      <w:bodyDiv w:val="1"/>
      <w:marLeft w:val="0"/>
      <w:marRight w:val="0"/>
      <w:marTop w:val="0"/>
      <w:marBottom w:val="0"/>
      <w:divBdr>
        <w:top w:val="none" w:sz="0" w:space="0" w:color="auto"/>
        <w:left w:val="none" w:sz="0" w:space="0" w:color="auto"/>
        <w:bottom w:val="none" w:sz="0" w:space="0" w:color="auto"/>
        <w:right w:val="none" w:sz="0" w:space="0" w:color="auto"/>
      </w:divBdr>
    </w:div>
    <w:div w:id="202056767">
      <w:bodyDiv w:val="1"/>
      <w:marLeft w:val="0"/>
      <w:marRight w:val="0"/>
      <w:marTop w:val="0"/>
      <w:marBottom w:val="0"/>
      <w:divBdr>
        <w:top w:val="none" w:sz="0" w:space="0" w:color="auto"/>
        <w:left w:val="none" w:sz="0" w:space="0" w:color="auto"/>
        <w:bottom w:val="none" w:sz="0" w:space="0" w:color="auto"/>
        <w:right w:val="none" w:sz="0" w:space="0" w:color="auto"/>
      </w:divBdr>
    </w:div>
    <w:div w:id="387610070">
      <w:bodyDiv w:val="1"/>
      <w:marLeft w:val="0"/>
      <w:marRight w:val="0"/>
      <w:marTop w:val="0"/>
      <w:marBottom w:val="0"/>
      <w:divBdr>
        <w:top w:val="none" w:sz="0" w:space="0" w:color="auto"/>
        <w:left w:val="none" w:sz="0" w:space="0" w:color="auto"/>
        <w:bottom w:val="none" w:sz="0" w:space="0" w:color="auto"/>
        <w:right w:val="none" w:sz="0" w:space="0" w:color="auto"/>
      </w:divBdr>
    </w:div>
    <w:div w:id="627012502">
      <w:bodyDiv w:val="1"/>
      <w:marLeft w:val="0"/>
      <w:marRight w:val="0"/>
      <w:marTop w:val="0"/>
      <w:marBottom w:val="0"/>
      <w:divBdr>
        <w:top w:val="none" w:sz="0" w:space="0" w:color="auto"/>
        <w:left w:val="none" w:sz="0" w:space="0" w:color="auto"/>
        <w:bottom w:val="none" w:sz="0" w:space="0" w:color="auto"/>
        <w:right w:val="none" w:sz="0" w:space="0" w:color="auto"/>
      </w:divBdr>
    </w:div>
    <w:div w:id="674917629">
      <w:bodyDiv w:val="1"/>
      <w:marLeft w:val="0"/>
      <w:marRight w:val="0"/>
      <w:marTop w:val="0"/>
      <w:marBottom w:val="0"/>
      <w:divBdr>
        <w:top w:val="none" w:sz="0" w:space="0" w:color="auto"/>
        <w:left w:val="none" w:sz="0" w:space="0" w:color="auto"/>
        <w:bottom w:val="none" w:sz="0" w:space="0" w:color="auto"/>
        <w:right w:val="none" w:sz="0" w:space="0" w:color="auto"/>
      </w:divBdr>
    </w:div>
    <w:div w:id="861942180">
      <w:bodyDiv w:val="1"/>
      <w:marLeft w:val="0"/>
      <w:marRight w:val="0"/>
      <w:marTop w:val="0"/>
      <w:marBottom w:val="0"/>
      <w:divBdr>
        <w:top w:val="none" w:sz="0" w:space="0" w:color="auto"/>
        <w:left w:val="none" w:sz="0" w:space="0" w:color="auto"/>
        <w:bottom w:val="none" w:sz="0" w:space="0" w:color="auto"/>
        <w:right w:val="none" w:sz="0" w:space="0" w:color="auto"/>
      </w:divBdr>
    </w:div>
    <w:div w:id="916288146">
      <w:bodyDiv w:val="1"/>
      <w:marLeft w:val="0"/>
      <w:marRight w:val="0"/>
      <w:marTop w:val="0"/>
      <w:marBottom w:val="0"/>
      <w:divBdr>
        <w:top w:val="none" w:sz="0" w:space="0" w:color="auto"/>
        <w:left w:val="none" w:sz="0" w:space="0" w:color="auto"/>
        <w:bottom w:val="none" w:sz="0" w:space="0" w:color="auto"/>
        <w:right w:val="none" w:sz="0" w:space="0" w:color="auto"/>
      </w:divBdr>
    </w:div>
    <w:div w:id="981613580">
      <w:bodyDiv w:val="1"/>
      <w:marLeft w:val="0"/>
      <w:marRight w:val="0"/>
      <w:marTop w:val="0"/>
      <w:marBottom w:val="0"/>
      <w:divBdr>
        <w:top w:val="none" w:sz="0" w:space="0" w:color="auto"/>
        <w:left w:val="none" w:sz="0" w:space="0" w:color="auto"/>
        <w:bottom w:val="none" w:sz="0" w:space="0" w:color="auto"/>
        <w:right w:val="none" w:sz="0" w:space="0" w:color="auto"/>
      </w:divBdr>
    </w:div>
    <w:div w:id="1025207091">
      <w:bodyDiv w:val="1"/>
      <w:marLeft w:val="0"/>
      <w:marRight w:val="0"/>
      <w:marTop w:val="0"/>
      <w:marBottom w:val="0"/>
      <w:divBdr>
        <w:top w:val="none" w:sz="0" w:space="0" w:color="auto"/>
        <w:left w:val="none" w:sz="0" w:space="0" w:color="auto"/>
        <w:bottom w:val="none" w:sz="0" w:space="0" w:color="auto"/>
        <w:right w:val="none" w:sz="0" w:space="0" w:color="auto"/>
      </w:divBdr>
    </w:div>
    <w:div w:id="1527522721">
      <w:bodyDiv w:val="1"/>
      <w:marLeft w:val="0"/>
      <w:marRight w:val="0"/>
      <w:marTop w:val="0"/>
      <w:marBottom w:val="0"/>
      <w:divBdr>
        <w:top w:val="none" w:sz="0" w:space="0" w:color="auto"/>
        <w:left w:val="none" w:sz="0" w:space="0" w:color="auto"/>
        <w:bottom w:val="none" w:sz="0" w:space="0" w:color="auto"/>
        <w:right w:val="none" w:sz="0" w:space="0" w:color="auto"/>
      </w:divBdr>
    </w:div>
    <w:div w:id="1598908608">
      <w:bodyDiv w:val="1"/>
      <w:marLeft w:val="0"/>
      <w:marRight w:val="0"/>
      <w:marTop w:val="0"/>
      <w:marBottom w:val="0"/>
      <w:divBdr>
        <w:top w:val="none" w:sz="0" w:space="0" w:color="auto"/>
        <w:left w:val="none" w:sz="0" w:space="0" w:color="auto"/>
        <w:bottom w:val="none" w:sz="0" w:space="0" w:color="auto"/>
        <w:right w:val="none" w:sz="0" w:space="0" w:color="auto"/>
      </w:divBdr>
    </w:div>
    <w:div w:id="1645236937">
      <w:bodyDiv w:val="1"/>
      <w:marLeft w:val="0"/>
      <w:marRight w:val="0"/>
      <w:marTop w:val="0"/>
      <w:marBottom w:val="0"/>
      <w:divBdr>
        <w:top w:val="none" w:sz="0" w:space="0" w:color="auto"/>
        <w:left w:val="none" w:sz="0" w:space="0" w:color="auto"/>
        <w:bottom w:val="none" w:sz="0" w:space="0" w:color="auto"/>
        <w:right w:val="none" w:sz="0" w:space="0" w:color="auto"/>
      </w:divBdr>
    </w:div>
    <w:div w:id="1876579208">
      <w:bodyDiv w:val="1"/>
      <w:marLeft w:val="0"/>
      <w:marRight w:val="0"/>
      <w:marTop w:val="0"/>
      <w:marBottom w:val="0"/>
      <w:divBdr>
        <w:top w:val="none" w:sz="0" w:space="0" w:color="auto"/>
        <w:left w:val="none" w:sz="0" w:space="0" w:color="auto"/>
        <w:bottom w:val="none" w:sz="0" w:space="0" w:color="auto"/>
        <w:right w:val="none" w:sz="0" w:space="0" w:color="auto"/>
      </w:divBdr>
    </w:div>
    <w:div w:id="1878621829">
      <w:bodyDiv w:val="1"/>
      <w:marLeft w:val="0"/>
      <w:marRight w:val="0"/>
      <w:marTop w:val="0"/>
      <w:marBottom w:val="0"/>
      <w:divBdr>
        <w:top w:val="none" w:sz="0" w:space="0" w:color="auto"/>
        <w:left w:val="none" w:sz="0" w:space="0" w:color="auto"/>
        <w:bottom w:val="none" w:sz="0" w:space="0" w:color="auto"/>
        <w:right w:val="none" w:sz="0" w:space="0" w:color="auto"/>
      </w:divBdr>
    </w:div>
    <w:div w:id="1968777083">
      <w:bodyDiv w:val="1"/>
      <w:marLeft w:val="0"/>
      <w:marRight w:val="0"/>
      <w:marTop w:val="0"/>
      <w:marBottom w:val="0"/>
      <w:divBdr>
        <w:top w:val="none" w:sz="0" w:space="0" w:color="auto"/>
        <w:left w:val="none" w:sz="0" w:space="0" w:color="auto"/>
        <w:bottom w:val="none" w:sz="0" w:space="0" w:color="auto"/>
        <w:right w:val="none" w:sz="0" w:space="0" w:color="auto"/>
      </w:divBdr>
    </w:div>
    <w:div w:id="2112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lo.org.mx/scielo.php?pid=S1665-80272023000100112&amp;script=sci_arttex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epositorio.catie.ac.cr/handle/11554/7084" TargetMode="External"/><Relationship Id="rId5" Type="http://schemas.openxmlformats.org/officeDocument/2006/relationships/hyperlink" Target="https://repositorio.utp.edu.co/items/dc01f043-2048-4e36-bc81-24ed53bd107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Adu23</b:Tag>
    <b:SourceType>JournalArticle</b:SourceType>
    <b:Guid>{012F9A9B-3375-47EF-818A-7AD8762ACBEF}</b:Guid>
    <b:Author>
      <b:Author>
        <b:Corporate>Aduvire, Lourdes.Guisela &amp; Magaly;</b:Corporate>
      </b:Author>
    </b:Author>
    <b:Title>El rol del juego en la enseñanza de las matemáticasFrancie WendyAduvire Condori1fr.aduvirec@gmail.comhttps://orcid.org/0009-0004-0031-5480Escuela de Educación Superior Pedagógica Pública Emilia Barcia BoniffattiLourdes ElizabethAvalos Salcedolourdesavalos</b:Title>
    <b:Year>2023</b:Year>
    <b:RefOrder>1</b:RefOrder>
  </b:Source>
  <b:Source>
    <b:Tag>Góm10</b:Tag>
    <b:SourceType>Report</b:SourceType>
    <b:Guid>{529B77FE-0A21-4491-B8A6-BEB51D826E46}</b:Guid>
    <b:Title>Proyecto de creación de empresa para la comercialización internacional de artesanías de la comunidad indígena Embera Chamí</b:Title>
    <b:Year>2010</b:Year>
    <b:Author>
      <b:Author>
        <b:Corporate>Gómez,Orrego</b:Corporate>
      </b:Author>
    </b:Author>
    <b:RefOrder>2</b:RefOrder>
  </b:Source>
  <b:Source>
    <b:Tag>MarcadorDePosición1</b:Tag>
    <b:SourceType>Report</b:SourceType>
    <b:Guid>{00FC9ACE-450B-4110-8F13-2C5DED47872B}</b:Guid>
    <b:Author>
      <b:Author>
        <b:Corporate>Escobar, Sandra</b:Corporate>
      </b:Author>
    </b:Author>
    <b:Title>Análisis de la contribución de la Empresa Forestal Comunitaria Tupiza en los medios y estrategias de vida de las comunidades Nuevo Belén y La Pulida de la Comarca Emberá Wounaan, Panamá</b:Title>
    <b:Year>2015</b:Year>
    <b:RefOrder>3</b:RefOrder>
  </b:Source>
  <b:Source>
    <b:Tag>Góm23</b:Tag>
    <b:SourceType>JournalArticle</b:SourceType>
    <b:Guid>{DA5150C7-D1FC-4602-B268-E5EF89265078}</b:Guid>
    <b:Author>
      <b:Author>
        <b:Corporate>Gómez,Santacruz</b:Corporate>
      </b:Author>
    </b:Author>
    <b:Title>El movimiento social embera-katío como resistencia frente a proyectos hidroenergéticos en Colombia</b:Title>
    <b:Year>2023</b:Year>
    <b:RefOrder>4</b:RefOrder>
  </b:Source>
  <b:Source>
    <b:Tag>Cru21</b:Tag>
    <b:SourceType>Report</b:SourceType>
    <b:Guid>{A1F8CEE3-9AF7-4D93-840F-C1178B6CEB11}</b:Guid>
    <b:Author>
      <b:Author>
        <b:NameList>
          <b:Person>
            <b:Last>Velásquez</b:Last>
            <b:First>Cruz</b:First>
          </b:Person>
        </b:NameList>
      </b:Author>
    </b:Author>
    <b:Title>Proyecto habitacional y productivo para la recuperación de la dignidad cultural de la comunidad indígena Emberá en Bogotá</b:Title>
    <b:Year>2021</b:Year>
    <b:City>Bogotá</b:City>
    <b:Publisher>Fundación Universidad de América</b:Publisher>
    <b:RefOrder>5</b:RefOrder>
  </b:Source>
</b:Sources>
</file>

<file path=customXml/itemProps1.xml><?xml version="1.0" encoding="utf-8"?>
<ds:datastoreItem xmlns:ds="http://schemas.openxmlformats.org/officeDocument/2006/customXml" ds:itemID="{032D9CF7-39AC-44CB-BED5-CE9F91D3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706_20</dc:creator>
  <cp:keywords/>
  <dc:description/>
  <cp:lastModifiedBy>Juan Camilo Garzón Rodríguez</cp:lastModifiedBy>
  <cp:revision>3</cp:revision>
  <dcterms:created xsi:type="dcterms:W3CDTF">2024-05-11T03:23:00Z</dcterms:created>
  <dcterms:modified xsi:type="dcterms:W3CDTF">2024-05-11T03:25:00Z</dcterms:modified>
</cp:coreProperties>
</file>