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449A6" w14:textId="77777777" w:rsidR="00000000" w:rsidRPr="00094980" w:rsidRDefault="00215443">
      <w:pPr>
        <w:rPr>
          <w:b/>
          <w:bCs/>
        </w:rPr>
      </w:pPr>
      <w:r w:rsidRPr="00094980">
        <w:rPr>
          <w:b/>
          <w:bCs/>
        </w:rPr>
        <w:t xml:space="preserve">Revista del juego en el aprendizaje </w:t>
      </w:r>
    </w:p>
    <w:p w14:paraId="52BA322E" w14:textId="77777777" w:rsidR="00215443" w:rsidRDefault="00215443"/>
    <w:p w14:paraId="4C23F67C" w14:textId="3FFBAF47" w:rsidR="005E5230" w:rsidRDefault="00215443">
      <w:r>
        <w:t xml:space="preserve">Según </w:t>
      </w:r>
      <w:sdt>
        <w:sdtPr>
          <w:id w:val="468336516"/>
          <w:citation/>
        </w:sdtPr>
        <w:sdtContent>
          <w:r>
            <w:fldChar w:fldCharType="begin"/>
          </w:r>
          <w:r>
            <w:instrText xml:space="preserve"> CITATION Adu23 \l 9226 </w:instrText>
          </w:r>
          <w:r>
            <w:fldChar w:fldCharType="separate"/>
          </w:r>
          <w:r w:rsidR="00337ACD">
            <w:rPr>
              <w:noProof/>
            </w:rPr>
            <w:t>(Aduvire Condori, Avalos Salcedo, GodoyGuisela, &amp; RosasMagaly, 2023)</w:t>
          </w:r>
          <w:r>
            <w:fldChar w:fldCharType="end"/>
          </w:r>
        </w:sdtContent>
      </w:sdt>
      <w:r w:rsidR="005E5230">
        <w:t xml:space="preserve"> el juego debe ser </w:t>
      </w:r>
      <w:r w:rsidR="00614C2F">
        <w:t>tenido en</w:t>
      </w:r>
      <w:r w:rsidR="005E5230">
        <w:t xml:space="preserve"> cuenta como una herramienta poderosa en el proceso de aprendizaje favoreciendo la puesta en </w:t>
      </w:r>
      <w:r w:rsidR="00614C2F">
        <w:t>práctica</w:t>
      </w:r>
      <w:r w:rsidR="005E5230">
        <w:t xml:space="preserve"> de los </w:t>
      </w:r>
      <w:r w:rsidR="00614C2F">
        <w:t>conocimientos. En</w:t>
      </w:r>
      <w:r w:rsidR="005E5230">
        <w:t xml:space="preserve"> </w:t>
      </w:r>
      <w:r w:rsidR="00614C2F">
        <w:t>la misma,</w:t>
      </w:r>
      <w:sdt>
        <w:sdtPr>
          <w:id w:val="-2138093201"/>
          <w:citation/>
        </w:sdtPr>
        <w:sdtContent>
          <w:r w:rsidR="000F404B">
            <w:fldChar w:fldCharType="begin"/>
          </w:r>
          <w:r w:rsidR="000F404B">
            <w:instrText xml:space="preserve"> CITATION Tab24 \l 9226 </w:instrText>
          </w:r>
          <w:r w:rsidR="000F404B">
            <w:fldChar w:fldCharType="separate"/>
          </w:r>
          <w:r w:rsidR="00337ACD">
            <w:rPr>
              <w:noProof/>
            </w:rPr>
            <w:t xml:space="preserve"> (Taborda, Llerena, &amp; Páez, 2024)</w:t>
          </w:r>
          <w:r w:rsidR="000F404B">
            <w:fldChar w:fldCharType="end"/>
          </w:r>
        </w:sdtContent>
      </w:sdt>
      <w:r w:rsidR="000F404B">
        <w:t xml:space="preserve"> </w:t>
      </w:r>
      <w:r w:rsidR="005E5230">
        <w:t>refiere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471519243"/>
        <w:docPartObj>
          <w:docPartGallery w:val="Bibliographies"/>
          <w:docPartUnique/>
        </w:docPartObj>
      </w:sdtPr>
      <w:sdtEndPr>
        <w:rPr>
          <w:lang w:val="es-CO"/>
        </w:rPr>
      </w:sdtEndPr>
      <w:sdtContent>
        <w:p w14:paraId="1AB3E2D8" w14:textId="77777777" w:rsidR="005E5230" w:rsidRDefault="005E5230">
          <w:pPr>
            <w:pStyle w:val="Ttulo1"/>
          </w:pPr>
          <w:r>
            <w:rPr>
              <w:lang w:val="es-ES"/>
            </w:rPr>
            <w:t>Bibliografía</w:t>
          </w:r>
        </w:p>
        <w:sdt>
          <w:sdtPr>
            <w:id w:val="111145805"/>
            <w:bibliography/>
          </w:sdtPr>
          <w:sdtContent>
            <w:p w14:paraId="022D0C37" w14:textId="1A83F11B" w:rsidR="00337ACD" w:rsidRPr="00337ACD" w:rsidRDefault="005E5230" w:rsidP="00337ACD">
              <w:pPr>
                <w:pStyle w:val="Bibliografa"/>
                <w:ind w:left="720" w:hanging="720"/>
                <w:rPr>
                  <w:noProof/>
                  <w:sz w:val="24"/>
                  <w:szCs w:val="24"/>
                  <w:lang w:val="es-ES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 w:rsidR="00337ACD">
                <w:rPr>
                  <w:noProof/>
                  <w:lang w:val="es-ES"/>
                </w:rPr>
                <w:t xml:space="preserve">Aduvire Condori, F. W., Avalos Salcedo, L. E., GodoyGuisela, &amp; RosasMagaly. (MARZO-ABRIL de 2023). El rol del juego en la enseñanza de las matemáticas. </w:t>
              </w:r>
              <w:r w:rsidR="00337ACD">
                <w:rPr>
                  <w:i/>
                  <w:iCs/>
                  <w:noProof/>
                  <w:lang w:val="es-ES"/>
                </w:rPr>
                <w:t>Ciencia Latina Internacional, 7</w:t>
              </w:r>
              <w:r w:rsidR="00337ACD">
                <w:rPr>
                  <w:noProof/>
                  <w:lang w:val="es-ES"/>
                </w:rPr>
                <w:t>(2), 4722-4730. doi:https://doi.org/10.37811/cl_rcm.v7i2.5682</w:t>
              </w:r>
            </w:p>
            <w:p w14:paraId="0E383412" w14:textId="77777777" w:rsidR="005E5230" w:rsidRDefault="005E5230" w:rsidP="00337ACD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1D325F73" w14:textId="77777777" w:rsidR="00215443" w:rsidRDefault="00215443"/>
    <w:p w14:paraId="30847F24" w14:textId="77777777" w:rsidR="00AB65B7" w:rsidRDefault="00AB65B7"/>
    <w:p w14:paraId="660E630A" w14:textId="77777777" w:rsidR="00AB65B7" w:rsidRPr="00094980" w:rsidRDefault="00AB65B7">
      <w:pPr>
        <w:rPr>
          <w:b/>
          <w:bCs/>
        </w:rPr>
      </w:pPr>
      <w:r w:rsidRPr="00094980">
        <w:rPr>
          <w:b/>
          <w:bCs/>
        </w:rPr>
        <w:t>Beneficios de la comunidad emberá</w:t>
      </w:r>
    </w:p>
    <w:p w14:paraId="50FA641A" w14:textId="77777777" w:rsidR="00AB65B7" w:rsidRDefault="00AB65B7"/>
    <w:p w14:paraId="6C86A4EE" w14:textId="6BF82D19" w:rsidR="00337ACD" w:rsidRDefault="00AB65B7" w:rsidP="00337ACD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300" w:afterAutospacing="0"/>
        <w:rPr>
          <w:rFonts w:ascii="Segoe UI" w:hAnsi="Segoe UI" w:cs="Segoe UI"/>
          <w:color w:val="0D0D0D"/>
        </w:rPr>
      </w:pPr>
      <w:r>
        <w:t xml:space="preserve">Según </w:t>
      </w:r>
      <w:sdt>
        <w:sdtPr>
          <w:rPr>
            <w:b/>
          </w:rPr>
          <w:id w:val="2087713173"/>
          <w:citation/>
        </w:sdtPr>
        <w:sdtContent>
          <w:r w:rsidRPr="001C3B19">
            <w:rPr>
              <w:b/>
            </w:rPr>
            <w:fldChar w:fldCharType="begin"/>
          </w:r>
          <w:r w:rsidRPr="001C3B19">
            <w:rPr>
              <w:b/>
            </w:rPr>
            <w:instrText xml:space="preserve"> CITATION Tab24 \l 9226 </w:instrText>
          </w:r>
          <w:r w:rsidRPr="001C3B19">
            <w:rPr>
              <w:b/>
            </w:rPr>
            <w:fldChar w:fldCharType="separate"/>
          </w:r>
          <w:r w:rsidR="00337ACD">
            <w:rPr>
              <w:noProof/>
            </w:rPr>
            <w:t>(Taborda, Llerena, &amp; Páez, 2024)</w:t>
          </w:r>
          <w:r w:rsidRPr="001C3B19">
            <w:rPr>
              <w:b/>
            </w:rPr>
            <w:fldChar w:fldCharType="end"/>
          </w:r>
        </w:sdtContent>
      </w:sdt>
      <w:r>
        <w:t xml:space="preserve"> </w:t>
      </w:r>
      <w:r>
        <w:rPr>
          <w:rFonts w:ascii="Segoe UI" w:hAnsi="Segoe UI" w:cs="Segoe UI"/>
          <w:color w:val="0D0D0D"/>
          <w:shd w:val="clear" w:color="auto" w:fill="FFFFFF"/>
        </w:rPr>
        <w:t xml:space="preserve">destaca la importancia del cuerpo, el paisaje y </w:t>
      </w:r>
      <w:r w:rsidR="001C3B19">
        <w:rPr>
          <w:rFonts w:ascii="Segoe UI" w:hAnsi="Segoe UI" w:cs="Segoe UI"/>
          <w:color w:val="0D0D0D"/>
          <w:shd w:val="clear" w:color="auto" w:fill="FFFFFF"/>
        </w:rPr>
        <w:t>las mapeamientos corporales</w:t>
      </w:r>
      <w:r>
        <w:rPr>
          <w:rFonts w:ascii="Segoe UI" w:hAnsi="Segoe UI" w:cs="Segoe UI"/>
          <w:color w:val="0D0D0D"/>
          <w:shd w:val="clear" w:color="auto" w:fill="FFFFFF"/>
        </w:rPr>
        <w:t xml:space="preserve"> comunitarios como elementos fundamentales de creación y conexión con la tierra y su cultura.</w:t>
      </w:r>
      <w:r w:rsidRPr="00AB65B7">
        <w:rPr>
          <w:rFonts w:ascii="Segoe UI" w:hAnsi="Segoe UI" w:cs="Segoe UI"/>
          <w:color w:val="0D0D0D"/>
          <w:shd w:val="clear" w:color="auto" w:fill="FFFFFF"/>
        </w:rPr>
        <w:t xml:space="preserve"> </w:t>
      </w:r>
      <w:r>
        <w:rPr>
          <w:rFonts w:ascii="Segoe UI" w:hAnsi="Segoe UI" w:cs="Segoe UI"/>
          <w:color w:val="0D0D0D"/>
          <w:shd w:val="clear" w:color="auto" w:fill="FFFFFF"/>
        </w:rPr>
        <w:t>El concepto de "rizoma" se utiliza para describir esta experiencia cartográfica, destacando la interconexión de prácticas culturales como rituales, mitos, tradiciones orales y leyendas, como una forma de emancipación espacial.</w:t>
      </w:r>
      <w:r w:rsidRPr="00AB65B7">
        <w:rPr>
          <w:rFonts w:ascii="Segoe UI" w:hAnsi="Segoe UI" w:cs="Segoe UI"/>
          <w:color w:val="0D0D0D"/>
          <w:shd w:val="clear" w:color="auto" w:fill="FFFFFF"/>
        </w:rPr>
        <w:t xml:space="preserve"> </w:t>
      </w:r>
      <w:r>
        <w:rPr>
          <w:rFonts w:ascii="Segoe UI" w:hAnsi="Segoe UI" w:cs="Segoe UI"/>
          <w:color w:val="0D0D0D"/>
          <w:shd w:val="clear" w:color="auto" w:fill="FFFFFF"/>
        </w:rPr>
        <w:t xml:space="preserve">Finalmente, se enfatiza que estas prácticas no se desvinculan de los saberes y vivencias milenarios de la comunidad, pero también se reconocen como parte de procesos de integración y transformación cultural en relación con otros pueblos, así como de la lucha y resistencia que han caracterizado a este grupo del sur de Córdoba a lo largo del tiempo. En la misma sintonía </w:t>
      </w:r>
      <w:sdt>
        <w:sdtPr>
          <w:rPr>
            <w:rFonts w:ascii="Segoe UI" w:hAnsi="Segoe UI" w:cs="Segoe UI"/>
            <w:b/>
            <w:color w:val="0D0D0D"/>
            <w:shd w:val="clear" w:color="auto" w:fill="FFFFFF"/>
          </w:rPr>
          <w:id w:val="290481914"/>
          <w:citation/>
        </w:sdtPr>
        <w:sdtContent>
          <w:r w:rsidRPr="001C3B19">
            <w:rPr>
              <w:rFonts w:ascii="Segoe UI" w:hAnsi="Segoe UI" w:cs="Segoe UI"/>
              <w:b/>
              <w:color w:val="0D0D0D"/>
              <w:shd w:val="clear" w:color="auto" w:fill="FFFFFF"/>
            </w:rPr>
            <w:fldChar w:fldCharType="begin"/>
          </w:r>
          <w:r w:rsidRPr="001C3B19">
            <w:rPr>
              <w:rFonts w:ascii="Segoe UI" w:hAnsi="Segoe UI" w:cs="Segoe UI"/>
              <w:b/>
              <w:color w:val="0D0D0D"/>
              <w:shd w:val="clear" w:color="auto" w:fill="FFFFFF"/>
            </w:rPr>
            <w:instrText xml:space="preserve"> CITATION Ber23 \l 9226 </w:instrText>
          </w:r>
          <w:r w:rsidRPr="001C3B19">
            <w:rPr>
              <w:rFonts w:ascii="Segoe UI" w:hAnsi="Segoe UI" w:cs="Segoe UI"/>
              <w:b/>
              <w:color w:val="0D0D0D"/>
              <w:shd w:val="clear" w:color="auto" w:fill="FFFFFF"/>
            </w:rPr>
            <w:fldChar w:fldCharType="separate"/>
          </w:r>
          <w:r w:rsidR="00337ACD" w:rsidRPr="00337ACD">
            <w:rPr>
              <w:rFonts w:ascii="Segoe UI" w:hAnsi="Segoe UI" w:cs="Segoe UI"/>
              <w:noProof/>
              <w:color w:val="0D0D0D"/>
              <w:shd w:val="clear" w:color="auto" w:fill="FFFFFF"/>
            </w:rPr>
            <w:t>(Bermúdez &amp; Borja, 2023)</w:t>
          </w:r>
          <w:r w:rsidRPr="001C3B19">
            <w:rPr>
              <w:rFonts w:ascii="Segoe UI" w:hAnsi="Segoe UI" w:cs="Segoe UI"/>
              <w:b/>
              <w:color w:val="0D0D0D"/>
              <w:shd w:val="clear" w:color="auto" w:fill="FFFFFF"/>
            </w:rPr>
            <w:fldChar w:fldCharType="end"/>
          </w:r>
        </w:sdtContent>
      </w:sdt>
      <w:r w:rsidR="001C3B19" w:rsidRPr="001C3B19">
        <w:rPr>
          <w:rFonts w:ascii="Segoe UI" w:hAnsi="Segoe UI" w:cs="Segoe UI"/>
          <w:color w:val="0D0D0D"/>
          <w:shd w:val="clear" w:color="auto" w:fill="FFFFFF"/>
        </w:rPr>
        <w:t xml:space="preserve"> </w:t>
      </w:r>
      <w:r w:rsidR="001C3B19">
        <w:rPr>
          <w:rFonts w:ascii="Segoe UI" w:hAnsi="Segoe UI" w:cs="Segoe UI"/>
          <w:color w:val="0D0D0D"/>
          <w:shd w:val="clear" w:color="auto" w:fill="FFFFFF"/>
        </w:rPr>
        <w:t xml:space="preserve">destaca los desafíos que enfrentan las comunidades indígenas, especialmente los Emberá, al retornar después de ser desplazadas. La pérdida de su territorio ancestral ha afectado profundamente su modo de vida y su sustento. Aunque el gobierno colombiano ha implementado políticas para proteger los derechos de los pueblos indígenas y promover su participación en decisiones que les afectan, aún persisten grandes retos. Es esencial garantizar su participación en decisiones, proteger sus derechos y prevenir la violencia y la explotación de sus territorios. La implementación efectiva de estas políticas requiere coordinación interinstitucional, asignación adecuada de recursos y consulta participativa con las comunidades afectadas. Es crucial que las autoridades trabajen en colaboración con las comunidades indígenas para encontrar soluciones justas y sostenibles que respeten sus derechos humanos y </w:t>
      </w:r>
      <w:r w:rsidR="001C3B19">
        <w:rPr>
          <w:rFonts w:ascii="Segoe UI" w:hAnsi="Segoe UI" w:cs="Segoe UI"/>
          <w:color w:val="0D0D0D"/>
          <w:shd w:val="clear" w:color="auto" w:fill="FFFFFF"/>
        </w:rPr>
        <w:lastRenderedPageBreak/>
        <w:t xml:space="preserve">culturales. Pasando a otra ubicación de otro pueblo </w:t>
      </w:r>
      <w:sdt>
        <w:sdtPr>
          <w:rPr>
            <w:rFonts w:ascii="Segoe UI" w:hAnsi="Segoe UI" w:cs="Segoe UI"/>
            <w:b/>
            <w:bCs/>
            <w:color w:val="0D0D0D"/>
            <w:shd w:val="clear" w:color="auto" w:fill="FFFFFF"/>
          </w:rPr>
          <w:id w:val="-880702400"/>
          <w:citation/>
        </w:sdtPr>
        <w:sdtContent>
          <w:r w:rsidR="00337ACD" w:rsidRPr="00337ACD">
            <w:rPr>
              <w:rFonts w:ascii="Segoe UI" w:hAnsi="Segoe UI" w:cs="Segoe UI"/>
              <w:b/>
              <w:bCs/>
              <w:color w:val="0D0D0D"/>
              <w:shd w:val="clear" w:color="auto" w:fill="FFFFFF"/>
            </w:rPr>
            <w:fldChar w:fldCharType="begin"/>
          </w:r>
          <w:r w:rsidR="00337ACD" w:rsidRPr="00337ACD">
            <w:rPr>
              <w:rFonts w:ascii="Segoe UI" w:hAnsi="Segoe UI" w:cs="Segoe UI"/>
              <w:b/>
              <w:bCs/>
              <w:color w:val="0D0D0D"/>
              <w:shd w:val="clear" w:color="auto" w:fill="FFFFFF"/>
              <w:lang w:val="es-MX"/>
            </w:rPr>
            <w:instrText xml:space="preserve"> CITATION Pin22 \l 2058 </w:instrText>
          </w:r>
          <w:r w:rsidR="00337ACD" w:rsidRPr="00337ACD">
            <w:rPr>
              <w:rFonts w:ascii="Segoe UI" w:hAnsi="Segoe UI" w:cs="Segoe UI"/>
              <w:b/>
              <w:bCs/>
              <w:color w:val="0D0D0D"/>
              <w:shd w:val="clear" w:color="auto" w:fill="FFFFFF"/>
            </w:rPr>
            <w:fldChar w:fldCharType="separate"/>
          </w:r>
          <w:r w:rsidR="00337ACD" w:rsidRPr="00337ACD">
            <w:rPr>
              <w:rFonts w:ascii="Segoe UI" w:hAnsi="Segoe UI" w:cs="Segoe UI"/>
              <w:noProof/>
              <w:color w:val="0D0D0D"/>
              <w:shd w:val="clear" w:color="auto" w:fill="FFFFFF"/>
              <w:lang w:val="es-MX"/>
            </w:rPr>
            <w:t>(Pinto &amp; Cleves, 2022)</w:t>
          </w:r>
          <w:r w:rsidR="00337ACD" w:rsidRPr="00337ACD">
            <w:rPr>
              <w:rFonts w:ascii="Segoe UI" w:hAnsi="Segoe UI" w:cs="Segoe UI"/>
              <w:b/>
              <w:bCs/>
              <w:color w:val="0D0D0D"/>
              <w:shd w:val="clear" w:color="auto" w:fill="FFFFFF"/>
            </w:rPr>
            <w:fldChar w:fldCharType="end"/>
          </w:r>
        </w:sdtContent>
      </w:sdt>
      <w:r w:rsidR="00337ACD">
        <w:rPr>
          <w:rFonts w:ascii="Segoe UI" w:hAnsi="Segoe UI" w:cs="Segoe UI"/>
          <w:b/>
          <w:bCs/>
          <w:color w:val="0D0D0D"/>
          <w:shd w:val="clear" w:color="auto" w:fill="FFFFFF"/>
        </w:rPr>
        <w:t xml:space="preserve"> </w:t>
      </w:r>
      <w:r w:rsidR="00337ACD">
        <w:rPr>
          <w:rFonts w:ascii="Segoe UI" w:hAnsi="Segoe UI" w:cs="Segoe UI"/>
          <w:color w:val="0D0D0D"/>
          <w:shd w:val="clear" w:color="auto" w:fill="FFFFFF"/>
        </w:rPr>
        <w:t xml:space="preserve">Este nos dice </w:t>
      </w:r>
      <w:proofErr w:type="gramStart"/>
      <w:r w:rsidR="00337ACD">
        <w:rPr>
          <w:rFonts w:ascii="Segoe UI" w:hAnsi="Segoe UI" w:cs="Segoe UI"/>
          <w:color w:val="0D0D0D"/>
          <w:shd w:val="clear" w:color="auto" w:fill="FFFFFF"/>
        </w:rPr>
        <w:t xml:space="preserve">que  </w:t>
      </w:r>
      <w:r w:rsidR="00337ACD">
        <w:rPr>
          <w:rFonts w:ascii="Segoe UI" w:hAnsi="Segoe UI" w:cs="Segoe UI"/>
          <w:color w:val="0D0D0D"/>
        </w:rPr>
        <w:t>el</w:t>
      </w:r>
      <w:proofErr w:type="gramEnd"/>
      <w:r w:rsidR="00337ACD">
        <w:rPr>
          <w:rFonts w:ascii="Segoe UI" w:hAnsi="Segoe UI" w:cs="Segoe UI"/>
          <w:color w:val="0D0D0D"/>
        </w:rPr>
        <w:t xml:space="preserve"> estudio revela la complejidad y la urgencia de abordar las necesidades de las comunidades rurales e indígenas, particularmente en el municipio de Pueblo Rico, Risaralda. Estas comunidades enfrentan desafíos significativos en términos de desigualdad, acceso limitado a servicios básicos y falta de control sobre sus propios recursos y proyectos de desarrollo. A pesar de los esfuerzos en áreas como la salud y la educación, persisten brechas económicas y de acceso al territorio que perpetúan la marginalización y la vulnerabilidad.</w:t>
      </w:r>
    </w:p>
    <w:p w14:paraId="047222F2" w14:textId="77777777" w:rsidR="00337ACD" w:rsidRDefault="00337ACD" w:rsidP="00337ACD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Es fundamental reconocer y respetar el conocimiento ancestral y las prácticas culturales de estas comunidades, no solo como parte de su identidad, sino también como recursos para la conservación ambiental y la sostenibilidad. Además, se destaca la importancia de promover la participación activa y equitativa de las comunidades en la planificación y ejecución de proyectos, así como en la toma de decisiones que afecten sus vidas.</w:t>
      </w:r>
    </w:p>
    <w:p w14:paraId="29B3415B" w14:textId="77777777" w:rsidR="00337ACD" w:rsidRDefault="00337ACD" w:rsidP="00337ACD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Para lograr un desarrollo integral y sostenible, se requiere un enfoque interdisciplinario y colaborativo que involucre a diversos actores, incluidas las propias comunidades, en la búsqueda de soluciones adaptadas a sus necesidades y realidades específicas. Asimismo, es imperativo que el Estado mejore su relación con estas poblaciones, garantizando una verdadera consulta y participación en la formulación de políticas y proyectos, y combatiendo la corrupción que obstaculiza el desarrollo efectivo y equitativo</w:t>
      </w:r>
    </w:p>
    <w:p w14:paraId="35E27F1F" w14:textId="77777777" w:rsidR="00337ACD" w:rsidRDefault="00337ACD" w:rsidP="00337ACD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0" w:afterAutospacing="0"/>
        <w:rPr>
          <w:rFonts w:ascii="Segoe UI" w:hAnsi="Segoe UI" w:cs="Segoe UI"/>
          <w:color w:val="0D0D0D"/>
        </w:rPr>
      </w:pPr>
    </w:p>
    <w:p w14:paraId="30DF21BF" w14:textId="5CDF16AD" w:rsidR="00AB65B7" w:rsidRPr="00337ACD" w:rsidRDefault="00AB65B7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77607112"/>
        <w:docPartObj>
          <w:docPartGallery w:val="Bibliographies"/>
          <w:docPartUnique/>
        </w:docPartObj>
      </w:sdtPr>
      <w:sdtEndPr>
        <w:rPr>
          <w:lang w:val="es-CO"/>
        </w:rPr>
      </w:sdtEndPr>
      <w:sdtContent>
        <w:p w14:paraId="7B1E703A" w14:textId="77777777" w:rsidR="00AB65B7" w:rsidRDefault="00AB65B7">
          <w:pPr>
            <w:pStyle w:val="Ttulo1"/>
          </w:pPr>
          <w:r>
            <w:rPr>
              <w:lang w:val="es-ES"/>
            </w:rPr>
            <w:t>Bibliografía</w:t>
          </w:r>
        </w:p>
        <w:sdt>
          <w:sdtPr>
            <w:id w:val="535936341"/>
            <w:bibliography/>
          </w:sdtPr>
          <w:sdtContent>
            <w:p w14:paraId="0D2CB2A7" w14:textId="2B095393" w:rsidR="00337ACD" w:rsidRDefault="00AB65B7" w:rsidP="00337ACD">
              <w:pPr>
                <w:pStyle w:val="Bibliografa"/>
                <w:ind w:left="720" w:hanging="720"/>
                <w:rPr>
                  <w:noProof/>
                  <w:sz w:val="24"/>
                  <w:szCs w:val="24"/>
                  <w:lang w:val="es-ES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</w:p>
            <w:p w14:paraId="06CE7621" w14:textId="77777777" w:rsidR="00337ACD" w:rsidRDefault="00337ACD" w:rsidP="00337ACD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Bermúdez, G., &amp; Borja, S. (2023). La reubicación temporal de los Emberá asentados en el parque Nacional de. </w:t>
              </w:r>
              <w:r>
                <w:rPr>
                  <w:i/>
                  <w:iCs/>
                  <w:noProof/>
                  <w:lang w:val="es-ES"/>
                </w:rPr>
                <w:t>Universidad Libre</w:t>
              </w:r>
              <w:r>
                <w:rPr>
                  <w:noProof/>
                  <w:lang w:val="es-ES"/>
                </w:rPr>
                <w:t>, 1-20. Obtenido de https://repository.unilibre.edu.co/bitstream/handle/10901/25789/ARTICULO%20REUBICACI%c3%93N%20TEMPORAL%20EMBERA.pdf?sequence=1&amp;isAllowed=y</w:t>
              </w:r>
            </w:p>
            <w:p w14:paraId="39969213" w14:textId="77777777" w:rsidR="00337ACD" w:rsidRPr="00337ACD" w:rsidRDefault="00337ACD" w:rsidP="00337ACD">
              <w:pPr>
                <w:pStyle w:val="Bibliografa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s-ES"/>
                </w:rPr>
                <w:t xml:space="preserve">Pinto, S., &amp; Cleves, J. (2022). Procesos administrativos y Cultura organizacional del pueblo indígena Emberá Katío del municipio de Pueblo Rico (Risaralda, Colombia). </w:t>
              </w:r>
              <w:r w:rsidRPr="00337ACD">
                <w:rPr>
                  <w:i/>
                  <w:iCs/>
                  <w:noProof/>
                  <w:lang w:val="en-US"/>
                </w:rPr>
                <w:t>Administrative processes and organizational culture of the Emberá Katío indigenous people of the municipality of Pueblo Rico (Risaralda, Colombia)</w:t>
              </w:r>
              <w:r w:rsidRPr="00337ACD">
                <w:rPr>
                  <w:noProof/>
                  <w:lang w:val="en-US"/>
                </w:rPr>
                <w:t>, 1-22. doi:https://doi.org/10.18041/1794-4953/avances.1.8022</w:t>
              </w:r>
            </w:p>
            <w:p w14:paraId="606EC4AF" w14:textId="77777777" w:rsidR="00337ACD" w:rsidRDefault="00337ACD" w:rsidP="00337ACD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Taborda, M., Llerena, E., &amp; Páez, Y. (Abril de 2024). PAISAJES CORPORALES, LENGUA Y TERRITORIOS EN RESISTENCIA: COMUNIDAD EMBERÁ KATÍO DEL ALTO-SINÚ -COLOMBIA. </w:t>
              </w:r>
              <w:r>
                <w:rPr>
                  <w:i/>
                  <w:iCs/>
                  <w:noProof/>
                  <w:lang w:val="es-ES"/>
                </w:rPr>
                <w:lastRenderedPageBreak/>
                <w:t>PAISAGENS DO CORPO, LINGUAGEM E TERRITÓRIOS EM RESISTÊNCIA: COMUNIDADE EMBERÁ KATÍO DE ALTO-SINÚ –COLÔMBIA, 17</w:t>
              </w:r>
              <w:r>
                <w:rPr>
                  <w:noProof/>
                  <w:lang w:val="es-ES"/>
                </w:rPr>
                <w:t>(1), 7-19. doi:10.18554/rt.v17i1.7349</w:t>
              </w:r>
            </w:p>
            <w:p w14:paraId="5F4D1B4F" w14:textId="77777777" w:rsidR="00AB65B7" w:rsidRDefault="00AB65B7" w:rsidP="00337ACD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2C1D8A41" w14:textId="77777777" w:rsidR="00AB65B7" w:rsidRDefault="00AB65B7"/>
    <w:sectPr w:rsidR="00AB65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43"/>
    <w:rsid w:val="00094980"/>
    <w:rsid w:val="000F404B"/>
    <w:rsid w:val="001C3B19"/>
    <w:rsid w:val="00215443"/>
    <w:rsid w:val="00337ACD"/>
    <w:rsid w:val="005E5230"/>
    <w:rsid w:val="00614C2F"/>
    <w:rsid w:val="009A0687"/>
    <w:rsid w:val="009E1D51"/>
    <w:rsid w:val="00AB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564B"/>
  <w15:chartTrackingRefBased/>
  <w15:docId w15:val="{2B90E63E-CD2C-4800-B22D-7717E944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52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52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CO"/>
    </w:rPr>
  </w:style>
  <w:style w:type="paragraph" w:styleId="Bibliografa">
    <w:name w:val="Bibliography"/>
    <w:basedOn w:val="Normal"/>
    <w:next w:val="Normal"/>
    <w:uiPriority w:val="37"/>
    <w:unhideWhenUsed/>
    <w:rsid w:val="005E5230"/>
  </w:style>
  <w:style w:type="paragraph" w:styleId="NormalWeb">
    <w:name w:val="Normal (Web)"/>
    <w:basedOn w:val="Normal"/>
    <w:uiPriority w:val="99"/>
    <w:semiHidden/>
    <w:unhideWhenUsed/>
    <w:rsid w:val="0033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Adu23</b:Tag>
    <b:SourceType>JournalArticle</b:SourceType>
    <b:Guid>{9509D329-CE1A-4DBC-97B9-01BC5013B7A9}</b:Guid>
    <b:Title>El rol del juego en la enseñanza de las matemáticas</b:Title>
    <b:Year>2023</b:Year>
    <b:Author>
      <b:Author>
        <b:NameList>
          <b:Person>
            <b:Last>Aduvire Condori</b:Last>
            <b:First>Francie</b:First>
            <b:Middle>Wendy</b:Middle>
          </b:Person>
          <b:Person>
            <b:Last>Avalos Salcedo</b:Last>
            <b:First>Lourdes</b:First>
            <b:Middle>Elizabeth</b:Middle>
          </b:Person>
          <b:Person>
            <b:Last>GodoyGuisela</b:Last>
          </b:Person>
          <b:Person>
            <b:Last>RosasMagaly</b:Last>
          </b:Person>
        </b:NameList>
      </b:Author>
    </b:Author>
    <b:JournalName>Ciencia Latina Internacional</b:JournalName>
    <b:Pages>4722-4730</b:Pages>
    <b:Month>MARZO-ABRIL</b:Month>
    <b:Volume>7</b:Volume>
    <b:Issue>2</b:Issue>
    <b:URL>https://www.ciencialatina.org/index.php/cienciala/article/view/5682/8580</b:URL>
    <b:DOI>https://doi.org/10.37811/cl_rcm.v7i2.5682</b:DOI>
    <b:RefOrder>1</b:RefOrder>
  </b:Source>
  <b:Source>
    <b:Tag>Tab24</b:Tag>
    <b:SourceType>JournalArticle</b:SourceType>
    <b:Guid>{F2E6B353-504E-4A04-84FE-240FB6AFBFF5}</b:Guid>
    <b:Author>
      <b:Author>
        <b:NameList>
          <b:Person>
            <b:Last>Taborda</b:Last>
            <b:First>María</b:First>
          </b:Person>
          <b:Person>
            <b:Last>Llerena</b:Last>
            <b:First>Ernesto</b:First>
          </b:Person>
          <b:Person>
            <b:Last>Páez</b:Last>
            <b:First>Yulisa</b:First>
          </b:Person>
        </b:NameList>
      </b:Author>
    </b:Author>
    <b:Title>PAISAJES CORPORALES, LENGUA Y TERRITORIOS EN RESISTENCIA: COMUNIDAD EMBERÁ KATÍO DEL ALTO-SINÚ -COLOMBIA</b:Title>
    <b:JournalName>PAISAGENS DO CORPO, LINGUAGEM E TERRITÓRIOS EM RESISTÊNCIA: COMUNIDADE EMBERÁ KATÍO DE ALTO-SINÚ –COLÔMBIA</b:JournalName>
    <b:Year>2024</b:Year>
    <b:Pages>7-19</b:Pages>
    <b:Month>Abril </b:Month>
    <b:Volume>17</b:Volume>
    <b:Issue>1</b:Issue>
    <b:URL>https://seer.uftm.edu.br/revistaeletronica/index.php/revistatriangulo/article/view/7349/7338</b:URL>
    <b:DOI>10.18554/rt.v17i1.7349</b:DOI>
    <b:RefOrder>2</b:RefOrder>
  </b:Source>
  <b:Source>
    <b:Tag>Ber23</b:Tag>
    <b:SourceType>JournalArticle</b:SourceType>
    <b:Guid>{BCEE1B23-B517-4F74-9DD8-261BC0ABC82E}</b:Guid>
    <b:Author>
      <b:Author>
        <b:NameList>
          <b:Person>
            <b:Last>Bermúdez</b:Last>
            <b:First>Guadalupe</b:First>
          </b:Person>
          <b:Person>
            <b:Last>Borja</b:Last>
            <b:First>Sonia</b:First>
          </b:Person>
        </b:NameList>
      </b:Author>
    </b:Author>
    <b:Title>La reubicación temporal de los Emberá asentados en el parque Nacional de</b:Title>
    <b:JournalName>Universidad Libre</b:JournalName>
    <b:Year>2023</b:Year>
    <b:Pages>1-20</b:Pages>
    <b:URL>https://repository.unilibre.edu.co/bitstream/handle/10901/25789/ARTICULO%20REUBICACI%c3%93N%20TEMPORAL%20EMBERA.pdf?sequence=1&amp;isAllowed=y</b:URL>
    <b:RefOrder>3</b:RefOrder>
  </b:Source>
  <b:Source>
    <b:Tag>Pin22</b:Tag>
    <b:SourceType>JournalArticle</b:SourceType>
    <b:Guid>{BB2D1E83-C74E-4353-80A7-21D9796A09AD}</b:Guid>
    <b:Title>Procesos administrativos y Cultura organizacional del pueblo indígena Emberá Katío del municipio de Pueblo Rico (Risaralda, Colombia)</b:Title>
    <b:Year>2022</b:Year>
    <b:Author>
      <b:Author>
        <b:NameList>
          <b:Person>
            <b:Last>Pinto</b:Last>
            <b:First>Sandra</b:First>
          </b:Person>
          <b:Person>
            <b:Last>Cleves</b:Last>
            <b:First>Jose</b:First>
          </b:Person>
        </b:NameList>
      </b:Author>
    </b:Author>
    <b:JournalName>Administrative processes and organizational culture of the Emberá Katío indigenous people of the municipality of Pueblo Rico (Risaralda, Colombia)</b:JournalName>
    <b:Pages>1-22</b:Pages>
    <b:URL>https://revistas.unilibre.edu.co/index.php/avances/article/view/8022/7713</b:URL>
    <b:DOI>https://doi.org/10.18041/1794-4953/avances.1.8022</b:DOI>
    <b:RefOrder>4</b:RefOrder>
  </b:Source>
</b:Sources>
</file>

<file path=customXml/itemProps1.xml><?xml version="1.0" encoding="utf-8"?>
<ds:datastoreItem xmlns:ds="http://schemas.openxmlformats.org/officeDocument/2006/customXml" ds:itemID="{2814254A-C5F1-4D63-9256-8F5AF6F96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782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706_11</dc:creator>
  <cp:keywords/>
  <dc:description/>
  <cp:lastModifiedBy>Jhan Carlos  Caicedo Hernández</cp:lastModifiedBy>
  <cp:revision>2</cp:revision>
  <dcterms:created xsi:type="dcterms:W3CDTF">2024-05-08T15:37:00Z</dcterms:created>
  <dcterms:modified xsi:type="dcterms:W3CDTF">2024-05-09T18:47:00Z</dcterms:modified>
</cp:coreProperties>
</file>