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5D583F" w:rsidRDefault="0027266F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Costumbres de la comunidad Emberá</w:t>
      </w:r>
    </w:p>
    <w:p w14:paraId="00000002" w14:textId="77777777" w:rsidR="005D583F" w:rsidRDefault="0027266F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La comunidad Emberá, con sus diversas ramificaciones como los Emberá </w:t>
      </w:r>
      <w:proofErr w:type="spellStart"/>
      <w:r>
        <w:rPr>
          <w:sz w:val="24"/>
          <w:szCs w:val="24"/>
        </w:rPr>
        <w:t>Katío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Chamí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Dóbida</w:t>
      </w:r>
      <w:proofErr w:type="spellEnd"/>
      <w:r>
        <w:rPr>
          <w:sz w:val="24"/>
          <w:szCs w:val="24"/>
        </w:rPr>
        <w:t xml:space="preserve">, y </w:t>
      </w:r>
      <w:proofErr w:type="spellStart"/>
      <w:r>
        <w:rPr>
          <w:sz w:val="24"/>
          <w:szCs w:val="24"/>
        </w:rPr>
        <w:t>Eperara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Siapidara</w:t>
      </w:r>
      <w:proofErr w:type="spellEnd"/>
      <w:r>
        <w:rPr>
          <w:sz w:val="24"/>
          <w:szCs w:val="24"/>
        </w:rPr>
        <w:t>, enfrenta una serie de desafíos que impactan sus costumbres y tradiciones.</w:t>
      </w:r>
      <w:r>
        <w:rPr>
          <w:rFonts w:ascii="Roboto" w:eastAsia="Roboto" w:hAnsi="Roboto" w:cs="Roboto"/>
          <w:color w:val="0D0D0D"/>
          <w:sz w:val="24"/>
          <w:szCs w:val="24"/>
          <w:highlight w:val="white"/>
        </w:rPr>
        <w:t xml:space="preserve"> Al investigar estas costumbres o tradiciones, se revela la complejidad de su realidad cultural y social.</w:t>
      </w:r>
    </w:p>
    <w:p w14:paraId="00000003" w14:textId="075CC43F" w:rsidR="005D583F" w:rsidRDefault="00AF7A70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Según </w:t>
      </w:r>
      <w:sdt>
        <w:sdtPr>
          <w:rPr>
            <w:sz w:val="24"/>
            <w:szCs w:val="24"/>
          </w:rPr>
          <w:id w:val="-1372374958"/>
          <w:citation/>
        </w:sdtPr>
        <w:sdtContent>
          <w:r>
            <w:rPr>
              <w:sz w:val="24"/>
              <w:szCs w:val="24"/>
            </w:rPr>
            <w:fldChar w:fldCharType="begin"/>
          </w:r>
          <w:r>
            <w:rPr>
              <w:sz w:val="24"/>
              <w:szCs w:val="24"/>
              <w:lang w:val="es-MX"/>
            </w:rPr>
            <w:instrText xml:space="preserve"> CITATION BET18 \l 2058 </w:instrText>
          </w:r>
          <w:r>
            <w:rPr>
              <w:sz w:val="24"/>
              <w:szCs w:val="24"/>
            </w:rPr>
            <w:fldChar w:fldCharType="separate"/>
          </w:r>
          <w:r w:rsidRPr="00AF7A70">
            <w:rPr>
              <w:noProof/>
              <w:sz w:val="24"/>
              <w:szCs w:val="24"/>
              <w:lang w:val="es-MX"/>
            </w:rPr>
            <w:t>(] BETANCUR PRISCO, 2018)</w:t>
          </w:r>
          <w:r>
            <w:rPr>
              <w:sz w:val="24"/>
              <w:szCs w:val="24"/>
            </w:rPr>
            <w:fldChar w:fldCharType="end"/>
          </w:r>
        </w:sdtContent>
      </w:sdt>
      <w:r>
        <w:rPr>
          <w:sz w:val="24"/>
          <w:szCs w:val="24"/>
        </w:rPr>
        <w:t xml:space="preserve"> los r</w:t>
      </w:r>
      <w:r w:rsidR="0027266F">
        <w:rPr>
          <w:sz w:val="24"/>
          <w:szCs w:val="24"/>
        </w:rPr>
        <w:t xml:space="preserve">ituales Vitales y Adaptación Cultural: La Emberá </w:t>
      </w:r>
      <w:proofErr w:type="spellStart"/>
      <w:r w:rsidR="0027266F">
        <w:rPr>
          <w:sz w:val="24"/>
          <w:szCs w:val="24"/>
        </w:rPr>
        <w:t>Katío</w:t>
      </w:r>
      <w:proofErr w:type="spellEnd"/>
      <w:r w:rsidR="0027266F">
        <w:rPr>
          <w:sz w:val="24"/>
          <w:szCs w:val="24"/>
        </w:rPr>
        <w:t xml:space="preserve"> </w:t>
      </w:r>
      <w:proofErr w:type="spellStart"/>
      <w:r w:rsidR="0027266F">
        <w:rPr>
          <w:sz w:val="24"/>
          <w:szCs w:val="24"/>
        </w:rPr>
        <w:t>Choromandó</w:t>
      </w:r>
      <w:proofErr w:type="spellEnd"/>
      <w:r w:rsidR="0027266F">
        <w:rPr>
          <w:sz w:val="24"/>
          <w:szCs w:val="24"/>
        </w:rPr>
        <w:t xml:space="preserve"> de Dabeiba, afectada por el conflicto armado en Colombia, ha sido reconocida como s</w:t>
      </w:r>
      <w:r w:rsidR="0027266F">
        <w:rPr>
          <w:sz w:val="24"/>
          <w:szCs w:val="24"/>
        </w:rPr>
        <w:t>ujeto de derechos según la Ley de Víctimas. Sin embargo, se destaca la necesidad de una mayor interculturalidad para una efectiva apropiación de la ley y la adaptación a las necesidades de la comunidad</w:t>
      </w:r>
      <w:r w:rsidR="0027266F">
        <w:rPr>
          <w:sz w:val="24"/>
          <w:szCs w:val="24"/>
        </w:rPr>
        <w:t>.</w:t>
      </w:r>
    </w:p>
    <w:p w14:paraId="00000004" w14:textId="77777777" w:rsidR="005D583F" w:rsidRDefault="005D583F">
      <w:pPr>
        <w:jc w:val="both"/>
        <w:rPr>
          <w:sz w:val="24"/>
          <w:szCs w:val="24"/>
        </w:rPr>
      </w:pPr>
    </w:p>
    <w:p w14:paraId="00000005" w14:textId="55616C77" w:rsidR="005D583F" w:rsidRDefault="0027266F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AF7A70">
        <w:rPr>
          <w:sz w:val="24"/>
          <w:szCs w:val="24"/>
        </w:rPr>
        <w:t xml:space="preserve">En la </w:t>
      </w:r>
      <w:r>
        <w:rPr>
          <w:sz w:val="24"/>
          <w:szCs w:val="24"/>
        </w:rPr>
        <w:t>Preservación de la Identidad y Cosmovisión</w:t>
      </w:r>
      <w:r w:rsidR="00AF7A70">
        <w:rPr>
          <w:sz w:val="24"/>
          <w:szCs w:val="24"/>
        </w:rPr>
        <w:t xml:space="preserve"> </w:t>
      </w:r>
      <w:r>
        <w:rPr>
          <w:sz w:val="24"/>
          <w:szCs w:val="24"/>
        </w:rPr>
        <w:t>de acuerdo con</w:t>
      </w:r>
      <w:r w:rsidR="00AF7A70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138111321"/>
          <w:citation/>
        </w:sdtPr>
        <w:sdtContent>
          <w:r w:rsidR="00AF7A70">
            <w:rPr>
              <w:sz w:val="24"/>
              <w:szCs w:val="24"/>
            </w:rPr>
            <w:fldChar w:fldCharType="begin"/>
          </w:r>
          <w:r w:rsidR="00AF7A70">
            <w:rPr>
              <w:sz w:val="24"/>
              <w:szCs w:val="24"/>
              <w:lang w:val="es-MX"/>
            </w:rPr>
            <w:instrText xml:space="preserve"> CITATION Bur22 \l 2058 </w:instrText>
          </w:r>
          <w:r w:rsidR="00AF7A70">
            <w:rPr>
              <w:sz w:val="24"/>
              <w:szCs w:val="24"/>
            </w:rPr>
            <w:fldChar w:fldCharType="separate"/>
          </w:r>
          <w:r w:rsidR="00AF7A70" w:rsidRPr="00AF7A70">
            <w:rPr>
              <w:noProof/>
              <w:sz w:val="24"/>
              <w:szCs w:val="24"/>
              <w:lang w:val="es-MX"/>
            </w:rPr>
            <w:t>(Burgos, 2022)</w:t>
          </w:r>
          <w:r w:rsidR="00AF7A70">
            <w:rPr>
              <w:sz w:val="24"/>
              <w:szCs w:val="24"/>
            </w:rPr>
            <w:fldChar w:fldCharType="end"/>
          </w:r>
        </w:sdtContent>
      </w:sdt>
      <w:r>
        <w:rPr>
          <w:sz w:val="24"/>
          <w:szCs w:val="24"/>
        </w:rPr>
        <w:t xml:space="preserve">: La </w:t>
      </w:r>
      <w:r>
        <w:rPr>
          <w:sz w:val="24"/>
          <w:szCs w:val="24"/>
        </w:rPr>
        <w:t xml:space="preserve">investigación en la comunidad Emberá </w:t>
      </w:r>
      <w:proofErr w:type="spellStart"/>
      <w:r>
        <w:rPr>
          <w:sz w:val="24"/>
          <w:szCs w:val="24"/>
        </w:rPr>
        <w:t>Eyabida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Llanogordo</w:t>
      </w:r>
      <w:proofErr w:type="spellEnd"/>
      <w:r>
        <w:rPr>
          <w:sz w:val="24"/>
          <w:szCs w:val="24"/>
        </w:rPr>
        <w:t xml:space="preserve"> resalta la importancia de comprender y respetar los conocimientos, tradiciones y alimentación de los pueblos indígenas. Se evidencia la brecha en la información existente y la necesidad de implemen</w:t>
      </w:r>
      <w:r>
        <w:rPr>
          <w:sz w:val="24"/>
          <w:szCs w:val="24"/>
        </w:rPr>
        <w:t>tar políticas públicas inclusivas y respetuosas de la diversidad cultural.</w:t>
      </w:r>
    </w:p>
    <w:p w14:paraId="00000006" w14:textId="77777777" w:rsidR="005D583F" w:rsidRDefault="005D583F">
      <w:pPr>
        <w:jc w:val="both"/>
        <w:rPr>
          <w:sz w:val="24"/>
          <w:szCs w:val="24"/>
        </w:rPr>
      </w:pPr>
    </w:p>
    <w:p w14:paraId="00000007" w14:textId="5197851F" w:rsidR="005D583F" w:rsidRDefault="0027266F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El </w:t>
      </w:r>
      <w:r>
        <w:rPr>
          <w:sz w:val="24"/>
          <w:szCs w:val="24"/>
        </w:rPr>
        <w:t xml:space="preserve">Impacto de Factores Externos según lo indicado por </w:t>
      </w:r>
      <w:sdt>
        <w:sdtPr>
          <w:rPr>
            <w:sz w:val="24"/>
            <w:szCs w:val="24"/>
          </w:rPr>
          <w:id w:val="1697738676"/>
          <w:citation/>
        </w:sdtPr>
        <w:sdtContent>
          <w:r>
            <w:rPr>
              <w:sz w:val="24"/>
              <w:szCs w:val="24"/>
            </w:rPr>
            <w:fldChar w:fldCharType="begin"/>
          </w:r>
          <w:r>
            <w:rPr>
              <w:sz w:val="24"/>
              <w:szCs w:val="24"/>
              <w:lang w:val="es-MX"/>
            </w:rPr>
            <w:instrText xml:space="preserve"> CITATION Ama22 \l 2058 </w:instrText>
          </w:r>
          <w:r>
            <w:rPr>
              <w:sz w:val="24"/>
              <w:szCs w:val="24"/>
            </w:rPr>
            <w:fldChar w:fldCharType="separate"/>
          </w:r>
          <w:r w:rsidRPr="0027266F">
            <w:rPr>
              <w:noProof/>
              <w:sz w:val="24"/>
              <w:szCs w:val="24"/>
              <w:lang w:val="es-MX"/>
            </w:rPr>
            <w:t>(Amaya, 2022)</w:t>
          </w:r>
          <w:r>
            <w:rPr>
              <w:sz w:val="24"/>
              <w:szCs w:val="24"/>
            </w:rPr>
            <w:fldChar w:fldCharType="end"/>
          </w:r>
        </w:sdtContent>
      </w:sdt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: Los pueblos Emberá enfrentan desafíos como el desplazamiento, la intervención de actores armados y empresas extractoras, y la disminución de la pr</w:t>
      </w:r>
      <w:r>
        <w:rPr>
          <w:sz w:val="24"/>
          <w:szCs w:val="24"/>
        </w:rPr>
        <w:t>oducción agrícola y prácticas tradicionales de caza y pesca. Estos factores han generado un deterioro social, económico y de salud en las comunidades Emberá, afectando su identidad y formas de vida</w:t>
      </w:r>
      <w:bookmarkStart w:id="0" w:name="_GoBack"/>
      <w:bookmarkEnd w:id="0"/>
      <w:r>
        <w:rPr>
          <w:sz w:val="24"/>
          <w:szCs w:val="24"/>
        </w:rPr>
        <w:t>.</w:t>
      </w:r>
    </w:p>
    <w:p w14:paraId="00000008" w14:textId="77777777" w:rsidR="005D583F" w:rsidRDefault="005D583F">
      <w:pPr>
        <w:rPr>
          <w:sz w:val="24"/>
          <w:szCs w:val="24"/>
        </w:rPr>
      </w:pPr>
    </w:p>
    <w:p w14:paraId="00000009" w14:textId="77777777" w:rsidR="005D583F" w:rsidRDefault="005D583F">
      <w:pPr>
        <w:rPr>
          <w:sz w:val="24"/>
          <w:szCs w:val="24"/>
        </w:rPr>
      </w:pPr>
    </w:p>
    <w:sdt>
      <w:sdtPr>
        <w:rPr>
          <w:lang w:val="es-ES"/>
        </w:rPr>
        <w:id w:val="-699623464"/>
        <w:docPartObj>
          <w:docPartGallery w:val="Bibliographies"/>
          <w:docPartUnique/>
        </w:docPartObj>
      </w:sdtPr>
      <w:sdtEndPr>
        <w:rPr>
          <w:sz w:val="22"/>
          <w:szCs w:val="22"/>
          <w:lang w:val="es"/>
        </w:rPr>
      </w:sdtEndPr>
      <w:sdtContent>
        <w:p w14:paraId="26BBAE35" w14:textId="3AA1C59C" w:rsidR="0027266F" w:rsidRDefault="0027266F">
          <w:pPr>
            <w:pStyle w:val="Ttulo1"/>
          </w:pPr>
          <w:r>
            <w:rPr>
              <w:lang w:val="es-ES"/>
            </w:rPr>
            <w:t>Bibliografía</w:t>
          </w:r>
        </w:p>
        <w:sdt>
          <w:sdtPr>
            <w:id w:val="111145805"/>
            <w:bibliography/>
          </w:sdtPr>
          <w:sdtContent>
            <w:p w14:paraId="37BE3DBC" w14:textId="77777777" w:rsidR="0027266F" w:rsidRDefault="0027266F" w:rsidP="0027266F">
              <w:pPr>
                <w:pStyle w:val="Bibliografa"/>
                <w:ind w:left="720" w:hanging="720"/>
                <w:rPr>
                  <w:noProof/>
                  <w:sz w:val="24"/>
                  <w:szCs w:val="24"/>
                  <w:lang w:val="es-ES"/>
                </w:rPr>
              </w:pPr>
              <w:r>
                <w:fldChar w:fldCharType="begin"/>
              </w:r>
              <w:r>
                <w:instrText>BIBLIOGRAPHY</w:instrText>
              </w:r>
              <w:r>
                <w:fldChar w:fldCharType="separate"/>
              </w:r>
              <w:r>
                <w:rPr>
                  <w:noProof/>
                  <w:lang w:val="es-ES"/>
                </w:rPr>
                <w:t xml:space="preserve">] BETANCUR PRISCO, L. M. (2018). </w:t>
              </w:r>
              <w:r>
                <w:rPr>
                  <w:i/>
                  <w:iCs/>
                  <w:noProof/>
                  <w:lang w:val="es-ES"/>
                </w:rPr>
                <w:t>Estrategia de comunicación intercultural de la comunidad Emberá Katío Choromandó de Dabeiba.</w:t>
              </w:r>
              <w:r>
                <w:rPr>
                  <w:noProof/>
                  <w:lang w:val="es-ES"/>
                </w:rPr>
                <w:t xml:space="preserve"> Antioquia: Anagramas Rumbos y Sentidos de la Comunicación .</w:t>
              </w:r>
            </w:p>
            <w:p w14:paraId="185316A3" w14:textId="77777777" w:rsidR="0027266F" w:rsidRDefault="0027266F" w:rsidP="0027266F">
              <w:pPr>
                <w:pStyle w:val="Bibliografa"/>
                <w:ind w:left="720" w:hanging="720"/>
                <w:rPr>
                  <w:noProof/>
                  <w:lang w:val="es-ES"/>
                </w:rPr>
              </w:pPr>
              <w:r>
                <w:rPr>
                  <w:noProof/>
                  <w:lang w:val="es-ES"/>
                </w:rPr>
                <w:t xml:space="preserve">Amaya, A. G. (2022). </w:t>
              </w:r>
              <w:r>
                <w:rPr>
                  <w:i/>
                  <w:iCs/>
                  <w:noProof/>
                  <w:lang w:val="es-ES"/>
                </w:rPr>
                <w:t>Las comunidades Emberá: Cultura, desafíos y perspectivas. [Documento de trabajo, Observatorio de Derechos Humanos y Paz].</w:t>
              </w:r>
              <w:r>
                <w:rPr>
                  <w:noProof/>
                  <w:lang w:val="es-ES"/>
                </w:rPr>
                <w:t xml:space="preserve"> Uniciencia.</w:t>
              </w:r>
            </w:p>
            <w:p w14:paraId="46982DAD" w14:textId="77777777" w:rsidR="0027266F" w:rsidRDefault="0027266F" w:rsidP="0027266F">
              <w:pPr>
                <w:pStyle w:val="Bibliografa"/>
                <w:ind w:left="720" w:hanging="720"/>
                <w:rPr>
                  <w:noProof/>
                  <w:lang w:val="es-ES"/>
                </w:rPr>
              </w:pPr>
              <w:r>
                <w:rPr>
                  <w:noProof/>
                  <w:lang w:val="es-ES"/>
                </w:rPr>
                <w:t xml:space="preserve">Burgos, O. G. (2022). </w:t>
              </w:r>
              <w:r>
                <w:rPr>
                  <w:i/>
                  <w:iCs/>
                  <w:noProof/>
                  <w:lang w:val="es-ES"/>
                </w:rPr>
                <w:t>Propuesta de un plan estratégico para la mejora del servicio al cliente en la empresa XYZ. [Tesis de pregrado, Corporación Universitaria Minuto De Dios].</w:t>
              </w:r>
              <w:r>
                <w:rPr>
                  <w:noProof/>
                  <w:lang w:val="es-ES"/>
                </w:rPr>
                <w:t xml:space="preserve"> Repositorio UNIMINUTO.</w:t>
              </w:r>
            </w:p>
            <w:p w14:paraId="0916E24D" w14:textId="13FF0CFB" w:rsidR="0027266F" w:rsidRDefault="0027266F" w:rsidP="0027266F">
              <w:r>
                <w:rPr>
                  <w:b/>
                  <w:bCs/>
                </w:rPr>
                <w:fldChar w:fldCharType="end"/>
              </w:r>
            </w:p>
          </w:sdtContent>
        </w:sdt>
      </w:sdtContent>
    </w:sdt>
    <w:p w14:paraId="7D533BFD" w14:textId="40CA2A0B" w:rsidR="0027266F" w:rsidRDefault="0027266F" w:rsidP="0027266F"/>
    <w:p w14:paraId="4BA6299D" w14:textId="266B250D" w:rsidR="00AF7A70" w:rsidRDefault="00AF7A70" w:rsidP="00AF7A70">
      <w:pPr>
        <w:jc w:val="both"/>
      </w:pPr>
    </w:p>
    <w:p w14:paraId="0000000A" w14:textId="2B0A2EAB" w:rsidR="005D583F" w:rsidRDefault="005D583F">
      <w:pPr>
        <w:rPr>
          <w:b/>
          <w:sz w:val="24"/>
          <w:szCs w:val="24"/>
        </w:rPr>
      </w:pPr>
    </w:p>
    <w:p w14:paraId="79C8791B" w14:textId="1ADAFC38" w:rsidR="00AF7A70" w:rsidRDefault="00AF7A70">
      <w:pPr>
        <w:rPr>
          <w:sz w:val="24"/>
          <w:szCs w:val="24"/>
        </w:rPr>
      </w:pPr>
    </w:p>
    <w:p w14:paraId="0000000E" w14:textId="4FC8F692" w:rsidR="005D583F" w:rsidRPr="0027266F" w:rsidRDefault="005D583F" w:rsidP="0027266F">
      <w:pPr>
        <w:rPr>
          <w:sz w:val="24"/>
          <w:szCs w:val="24"/>
        </w:rPr>
      </w:pPr>
    </w:p>
    <w:sectPr w:rsidR="005D583F" w:rsidRPr="0027266F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970618"/>
    <w:multiLevelType w:val="multilevel"/>
    <w:tmpl w:val="12D0284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583F"/>
    <w:rsid w:val="0027266F"/>
    <w:rsid w:val="005D583F"/>
    <w:rsid w:val="00A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B373B"/>
  <w15:docId w15:val="{017B51F6-E7BA-40C6-B930-14FCD4816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s" w:eastAsia="es-CO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Prrafodelista">
    <w:name w:val="List Paragraph"/>
    <w:basedOn w:val="Normal"/>
    <w:uiPriority w:val="34"/>
    <w:qFormat/>
    <w:rsid w:val="00AF7A70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AF7A70"/>
    <w:rPr>
      <w:sz w:val="40"/>
      <w:szCs w:val="40"/>
    </w:rPr>
  </w:style>
  <w:style w:type="paragraph" w:styleId="Bibliografa">
    <w:name w:val="Bibliography"/>
    <w:basedOn w:val="Normal"/>
    <w:next w:val="Normal"/>
    <w:uiPriority w:val="37"/>
    <w:unhideWhenUsed/>
    <w:rsid w:val="00AF7A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3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8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0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3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BET18</b:Tag>
    <b:SourceType>Report</b:SourceType>
    <b:Guid>{BBD3678C-EF85-43F6-A816-DD1756E2BBE0}</b:Guid>
    <b:Author>
      <b:Author>
        <b:NameList>
          <b:Person>
            <b:Last>] BETANCUR PRISCO</b:Last>
            <b:First>L.</b:First>
            <b:Middle>M., VASQUEZ RESTREPO, M., BETANCUR RODRIGUEZ, V. H., &amp; HERRERA PULGARIN, J. J.</b:Middle>
          </b:Person>
        </b:NameList>
      </b:Author>
    </b:Author>
    <b:Title>Estrategia de comunicación intercultural de la comunidad Emberá Katío Choromandó de Dabeiba</b:Title>
    <b:Year>2018</b:Year>
    <b:Publisher>Anagramas Rumbos y Sentidos de la Comunicación </b:Publisher>
    <b:City>Antioquia</b:City>
    <b:RefOrder>1</b:RefOrder>
  </b:Source>
  <b:Source>
    <b:Tag>Bur22</b:Tag>
    <b:SourceType>Report</b:SourceType>
    <b:Guid>{B8D13A40-77CD-4D07-9D60-92282343CC1A}</b:Guid>
    <b:Author>
      <b:Author>
        <b:NameList>
          <b:Person>
            <b:Last>Burgos</b:Last>
            <b:First>O.,</b:First>
            <b:Middle>García, A., &amp; López, J.</b:Middle>
          </b:Person>
        </b:NameList>
      </b:Author>
    </b:Author>
    <b:Title>Propuesta de un plan estratégico para la mejora del servicio al cliente en la empresa XYZ. [Tesis de pregrado, Corporación Universitaria Minuto De Dios]</b:Title>
    <b:Year>2022</b:Year>
    <b:Publisher>Repositorio UNIMINUTO</b:Publisher>
    <b:RefOrder>2</b:RefOrder>
  </b:Source>
  <b:Source>
    <b:Tag>Ama22</b:Tag>
    <b:SourceType>Report</b:SourceType>
    <b:Guid>{F9E6674F-8F98-4495-AAEF-D69F6406660B}</b:Guid>
    <b:Author>
      <b:Author>
        <b:NameList>
          <b:Person>
            <b:Last>Amaya</b:Last>
            <b:First>A.</b:First>
            <b:Middle>G., Castañeda, M. V., &amp; García, C. A.</b:Middle>
          </b:Person>
        </b:NameList>
      </b:Author>
    </b:Author>
    <b:Title>Las comunidades Emberá: Cultura, desafíos y perspectivas. [Documento de trabajo, Observatorio de Derechos Humanos y Paz]</b:Title>
    <b:Year>2022</b:Year>
    <b:Publisher>Uniciencia</b:Publisher>
    <b:RefOrder>3</b:RefOrder>
  </b:Source>
</b:Sources>
</file>

<file path=customXml/itemProps1.xml><?xml version="1.0" encoding="utf-8"?>
<ds:datastoreItem xmlns:ds="http://schemas.openxmlformats.org/officeDocument/2006/customXml" ds:itemID="{6E683190-58C9-4ADE-9923-0945BDDA2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340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706_19</dc:creator>
  <cp:lastModifiedBy>706_19</cp:lastModifiedBy>
  <cp:revision>2</cp:revision>
  <dcterms:created xsi:type="dcterms:W3CDTF">2024-05-22T16:08:00Z</dcterms:created>
  <dcterms:modified xsi:type="dcterms:W3CDTF">2024-05-22T16:08:00Z</dcterms:modified>
</cp:coreProperties>
</file>